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ascii="楷体" w:hAnsi="楷体" w:eastAsia="楷体" w:cs="楷体"/>
          <w:b/>
          <w:bCs/>
          <w:color w:val="333333"/>
          <w:kern w:val="0"/>
          <w:sz w:val="32"/>
          <w:szCs w:val="32"/>
        </w:rPr>
      </w:pPr>
      <w:r>
        <w:rPr>
          <w:rFonts w:hint="eastAsia" w:ascii="黑体" w:hAnsi="黑体" w:eastAsia="黑体" w:cs="黑体"/>
          <w:b w:val="0"/>
          <w:bCs w:val="0"/>
          <w:sz w:val="36"/>
          <w:szCs w:val="36"/>
          <w:lang w:val="en-US" w:eastAsia="zh-CN"/>
        </w:rPr>
        <w:t>龙子湖区医保局</w:t>
      </w:r>
      <w:r>
        <w:rPr>
          <w:rFonts w:hint="eastAsia" w:ascii="黑体" w:hAnsi="黑体" w:eastAsia="黑体" w:cs="黑体"/>
          <w:b w:val="0"/>
          <w:bCs w:val="0"/>
          <w:sz w:val="36"/>
          <w:szCs w:val="36"/>
        </w:rPr>
        <w:t>2019年</w:t>
      </w:r>
      <w:r>
        <w:rPr>
          <w:rFonts w:hint="eastAsia" w:ascii="黑体" w:hAnsi="黑体" w:eastAsia="黑体" w:cs="黑体"/>
          <w:b w:val="0"/>
          <w:bCs w:val="0"/>
          <w:color w:val="333333"/>
          <w:kern w:val="0"/>
          <w:sz w:val="36"/>
          <w:szCs w:val="36"/>
        </w:rPr>
        <w:t>政府信息公开工作年度报告</w:t>
      </w:r>
    </w:p>
    <w:p>
      <w:pPr>
        <w:keepNext w:val="0"/>
        <w:keepLines w:val="0"/>
        <w:pageBreakBefore w:val="0"/>
        <w:widowControl/>
        <w:shd w:val="clear"/>
        <w:kinsoku/>
        <w:wordWrap/>
        <w:overflowPunct/>
        <w:topLinePunct w:val="0"/>
        <w:autoSpaceDE/>
        <w:autoSpaceDN/>
        <w:bidi w:val="0"/>
        <w:adjustRightInd/>
        <w:snapToGrid/>
        <w:spacing w:line="480" w:lineRule="exact"/>
        <w:ind w:firstLine="540" w:firstLineChars="200"/>
        <w:textAlignment w:val="auto"/>
        <w:rPr>
          <w:rFonts w:hint="eastAsia" w:ascii="仿宋" w:hAnsi="仿宋" w:eastAsia="仿宋" w:cs="仿宋"/>
          <w:color w:val="FF0000"/>
          <w:sz w:val="32"/>
          <w:szCs w:val="32"/>
          <w:shd w:val="clear" w:color="auto" w:fill="FFFFFF"/>
        </w:rPr>
      </w:pPr>
      <w:r>
        <w:rPr>
          <w:rFonts w:hint="eastAsia" w:ascii="宋体" w:hAnsi="宋体" w:eastAsia="宋体" w:cs="宋体"/>
          <w:i w:val="0"/>
          <w:caps w:val="0"/>
          <w:color w:val="333333"/>
          <w:spacing w:val="0"/>
          <w:sz w:val="27"/>
          <w:szCs w:val="27"/>
          <w:shd w:val="clear" w:fill="FFFFFF"/>
        </w:rPr>
        <w:t>　</w:t>
      </w:r>
      <w:r>
        <w:rPr>
          <w:rFonts w:hint="eastAsia" w:ascii="仿宋" w:hAnsi="仿宋" w:eastAsia="仿宋" w:cs="仿宋"/>
          <w:i w:val="0"/>
          <w:caps w:val="0"/>
          <w:color w:val="333333"/>
          <w:spacing w:val="0"/>
          <w:sz w:val="32"/>
          <w:szCs w:val="32"/>
          <w:shd w:val="clear" w:fill="FFFFFF"/>
        </w:rPr>
        <w:t>2019年，区医疗保障局认真贯彻落实《中华人民共和国政府信息公开条例》（国务院令第711号）、国务院办公厅政府信息与政务公开办公室《关于政府信息公开工作年度报告有关事项的通知》（国办公开办函〔2019〕60号）</w:t>
      </w:r>
      <w:r>
        <w:rPr>
          <w:rFonts w:hint="eastAsia" w:ascii="仿宋" w:hAnsi="仿宋" w:eastAsia="仿宋" w:cs="仿宋"/>
          <w:i w:val="0"/>
          <w:caps w:val="0"/>
          <w:color w:val="333333"/>
          <w:spacing w:val="0"/>
          <w:sz w:val="32"/>
          <w:szCs w:val="32"/>
          <w:shd w:val="clear" w:fill="FFFFFF"/>
          <w:lang w:eastAsia="zh-CN"/>
        </w:rPr>
        <w:t>等文件精神，</w:t>
      </w:r>
      <w:r>
        <w:rPr>
          <w:rFonts w:hint="eastAsia" w:ascii="仿宋" w:hAnsi="仿宋" w:eastAsia="仿宋" w:cs="仿宋"/>
          <w:i w:val="0"/>
          <w:caps w:val="0"/>
          <w:color w:val="333333"/>
          <w:spacing w:val="0"/>
          <w:sz w:val="32"/>
          <w:szCs w:val="32"/>
          <w:shd w:val="clear" w:fill="FFFFFF"/>
        </w:rPr>
        <w:t>推进政府信息公开工作的有效落实。现将2019年度政府信息公开工作总结如下：</w:t>
      </w:r>
    </w:p>
    <w:p>
      <w:pPr>
        <w:keepNext w:val="0"/>
        <w:keepLines w:val="0"/>
        <w:pageBreakBefore w:val="0"/>
        <w:widowControl/>
        <w:shd w:val="clear"/>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i w:val="0"/>
          <w:caps w:val="0"/>
          <w:color w:val="333333"/>
          <w:spacing w:val="0"/>
          <w:sz w:val="32"/>
          <w:szCs w:val="32"/>
        </w:rPr>
      </w:pPr>
      <w:r>
        <w:rPr>
          <w:rFonts w:hint="eastAsia" w:ascii="仿宋" w:hAnsi="仿宋" w:eastAsia="仿宋" w:cs="仿宋"/>
          <w:b w:val="0"/>
          <w:bCs/>
          <w:color w:val="333333"/>
          <w:kern w:val="0"/>
          <w:sz w:val="32"/>
          <w:szCs w:val="32"/>
        </w:rPr>
        <w:t>一、总体情况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480" w:lineRule="exact"/>
        <w:ind w:left="0" w:right="0" w:firstLine="540"/>
        <w:jc w:val="both"/>
        <w:textAlignment w:val="auto"/>
        <w:rPr>
          <w:rFonts w:hint="eastAsia" w:ascii="仿宋" w:hAnsi="仿宋" w:eastAsia="仿宋" w:cs="仿宋"/>
          <w:i w:val="0"/>
          <w:caps w:val="0"/>
          <w:color w:val="333333"/>
          <w:spacing w:val="0"/>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我局为2019年机构改革新组建政府工作部门，2019年4月成立以来，我局通过在龙子湖区人民政府网站公示蚌埠市龙子湖区城乡困难居民医疗救助花名册9次。本年度没有公民或法人向区医疗保障局申请信息公开。信息公开通过政府信息管理进行，信息公开工作纳入工作考核、社会评议和责任追究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480" w:lineRule="exact"/>
        <w:ind w:left="0" w:right="0" w:firstLine="540"/>
        <w:jc w:val="both"/>
        <w:textAlignment w:val="auto"/>
        <w:rPr>
          <w:rFonts w:hint="eastAsia" w:ascii="仿宋" w:hAnsi="仿宋" w:eastAsia="仿宋" w:cs="仿宋"/>
          <w:color w:val="000000"/>
          <w:sz w:val="32"/>
          <w:szCs w:val="32"/>
          <w:highlight w:val="none"/>
          <w:shd w:val="clear" w:color="auto" w:fill="FFFFFF"/>
        </w:rPr>
      </w:pPr>
      <w:r>
        <w:rPr>
          <w:rFonts w:hint="eastAsia" w:ascii="仿宋" w:hAnsi="仿宋" w:eastAsia="仿宋" w:cs="仿宋"/>
          <w:color w:val="333333"/>
          <w:sz w:val="32"/>
          <w:szCs w:val="32"/>
          <w:highlight w:val="none"/>
          <w:shd w:val="clear" w:color="auto" w:fill="FFFFFF"/>
        </w:rPr>
        <w:t>截至12月31日，新增主动公开政府信息</w:t>
      </w:r>
      <w:r>
        <w:rPr>
          <w:rFonts w:hint="eastAsia" w:ascii="仿宋" w:hAnsi="仿宋" w:eastAsia="仿宋" w:cs="仿宋"/>
          <w:color w:val="333333"/>
          <w:sz w:val="32"/>
          <w:szCs w:val="32"/>
          <w:highlight w:val="none"/>
          <w:shd w:val="clear" w:color="auto" w:fill="FFFFFF"/>
          <w:lang w:val="en-US" w:eastAsia="zh-CN"/>
        </w:rPr>
        <w:t>78</w:t>
      </w:r>
      <w:r>
        <w:rPr>
          <w:rFonts w:hint="eastAsia" w:ascii="仿宋" w:hAnsi="仿宋" w:eastAsia="仿宋" w:cs="仿宋"/>
          <w:color w:val="333333"/>
          <w:sz w:val="32"/>
          <w:szCs w:val="32"/>
          <w:highlight w:val="none"/>
          <w:shd w:val="clear" w:color="auto" w:fill="FFFFFF"/>
        </w:rPr>
        <w:t>条，累计主动公开政府信息达</w:t>
      </w:r>
      <w:r>
        <w:rPr>
          <w:rFonts w:hint="eastAsia" w:ascii="仿宋" w:hAnsi="仿宋" w:eastAsia="仿宋" w:cs="仿宋"/>
          <w:color w:val="333333"/>
          <w:sz w:val="32"/>
          <w:szCs w:val="32"/>
          <w:highlight w:val="none"/>
          <w:shd w:val="clear" w:color="auto" w:fill="FFFFFF"/>
          <w:lang w:val="en-US" w:eastAsia="zh-CN"/>
        </w:rPr>
        <w:t>78</w:t>
      </w:r>
      <w:r>
        <w:rPr>
          <w:rFonts w:hint="eastAsia" w:ascii="仿宋" w:hAnsi="仿宋" w:eastAsia="仿宋" w:cs="仿宋"/>
          <w:color w:val="333333"/>
          <w:sz w:val="32"/>
          <w:szCs w:val="32"/>
          <w:highlight w:val="none"/>
          <w:shd w:val="clear" w:color="auto" w:fill="FFFFFF"/>
        </w:rPr>
        <w:t>条。</w:t>
      </w:r>
      <w:r>
        <w:rPr>
          <w:rFonts w:hint="eastAsia" w:ascii="仿宋" w:hAnsi="仿宋" w:eastAsia="仿宋" w:cs="仿宋"/>
          <w:color w:val="000000"/>
          <w:sz w:val="32"/>
          <w:szCs w:val="32"/>
          <w:highlight w:val="none"/>
          <w:shd w:val="clear" w:color="auto" w:fill="FFFFFF"/>
        </w:rPr>
        <w:t>其中包括：政策法规</w:t>
      </w:r>
      <w:r>
        <w:rPr>
          <w:rFonts w:hint="eastAsia" w:ascii="仿宋" w:hAnsi="仿宋" w:eastAsia="仿宋" w:cs="仿宋"/>
          <w:color w:val="000000"/>
          <w:sz w:val="32"/>
          <w:szCs w:val="32"/>
          <w:highlight w:val="none"/>
          <w:shd w:val="clear" w:color="auto" w:fill="FFFFFF"/>
          <w:lang w:val="en-US" w:eastAsia="zh-CN"/>
        </w:rPr>
        <w:t>8</w:t>
      </w:r>
      <w:r>
        <w:rPr>
          <w:rFonts w:hint="eastAsia" w:ascii="仿宋" w:hAnsi="仿宋" w:eastAsia="仿宋" w:cs="仿宋"/>
          <w:color w:val="000000"/>
          <w:sz w:val="32"/>
          <w:szCs w:val="32"/>
          <w:highlight w:val="none"/>
          <w:shd w:val="clear" w:color="auto" w:fill="FFFFFF"/>
        </w:rPr>
        <w:t>条，决策</w:t>
      </w:r>
      <w:r>
        <w:rPr>
          <w:rFonts w:hint="eastAsia" w:ascii="仿宋" w:hAnsi="仿宋" w:eastAsia="仿宋" w:cs="仿宋"/>
          <w:color w:val="000000"/>
          <w:sz w:val="32"/>
          <w:szCs w:val="32"/>
          <w:highlight w:val="none"/>
          <w:shd w:val="clear" w:color="auto" w:fill="FFFFFF"/>
          <w:lang w:val="en-US" w:eastAsia="zh-CN"/>
        </w:rPr>
        <w:t>15</w:t>
      </w:r>
      <w:r>
        <w:rPr>
          <w:rFonts w:hint="eastAsia" w:ascii="仿宋" w:hAnsi="仿宋" w:eastAsia="仿宋" w:cs="仿宋"/>
          <w:color w:val="000000"/>
          <w:sz w:val="32"/>
          <w:szCs w:val="32"/>
          <w:highlight w:val="none"/>
          <w:shd w:val="clear" w:color="auto" w:fill="FFFFFF"/>
        </w:rPr>
        <w:t>条，规划计划</w:t>
      </w:r>
      <w:r>
        <w:rPr>
          <w:rFonts w:hint="eastAsia" w:ascii="仿宋" w:hAnsi="仿宋" w:eastAsia="仿宋" w:cs="仿宋"/>
          <w:color w:val="000000"/>
          <w:sz w:val="32"/>
          <w:szCs w:val="32"/>
          <w:highlight w:val="none"/>
          <w:shd w:val="clear" w:color="auto" w:fill="FFFFFF"/>
          <w:lang w:val="en-US" w:eastAsia="zh-CN"/>
        </w:rPr>
        <w:t>2</w:t>
      </w:r>
      <w:r>
        <w:rPr>
          <w:rFonts w:hint="eastAsia" w:ascii="仿宋" w:hAnsi="仿宋" w:eastAsia="仿宋" w:cs="仿宋"/>
          <w:color w:val="000000"/>
          <w:sz w:val="32"/>
          <w:szCs w:val="32"/>
          <w:highlight w:val="none"/>
          <w:shd w:val="clear" w:color="auto" w:fill="FFFFFF"/>
        </w:rPr>
        <w:t>条，决策部署落实情况</w:t>
      </w:r>
      <w:r>
        <w:rPr>
          <w:rFonts w:hint="eastAsia" w:ascii="仿宋" w:hAnsi="仿宋" w:eastAsia="仿宋" w:cs="仿宋"/>
          <w:color w:val="000000"/>
          <w:sz w:val="32"/>
          <w:szCs w:val="32"/>
          <w:highlight w:val="none"/>
          <w:shd w:val="clear" w:color="auto" w:fill="FFFFFF"/>
          <w:lang w:val="en-US" w:eastAsia="zh-CN"/>
        </w:rPr>
        <w:t>1</w:t>
      </w:r>
      <w:r>
        <w:rPr>
          <w:rFonts w:hint="eastAsia" w:ascii="仿宋" w:hAnsi="仿宋" w:eastAsia="仿宋" w:cs="仿宋"/>
          <w:color w:val="000000"/>
          <w:sz w:val="32"/>
          <w:szCs w:val="32"/>
          <w:highlight w:val="none"/>
          <w:shd w:val="clear" w:color="auto" w:fill="FFFFFF"/>
        </w:rPr>
        <w:t xml:space="preserve"> 条，建议提案办理</w:t>
      </w:r>
      <w:r>
        <w:rPr>
          <w:rFonts w:hint="eastAsia" w:ascii="仿宋" w:hAnsi="仿宋" w:eastAsia="仿宋" w:cs="仿宋"/>
          <w:color w:val="000000"/>
          <w:sz w:val="32"/>
          <w:szCs w:val="32"/>
          <w:highlight w:val="none"/>
          <w:shd w:val="clear" w:color="auto" w:fill="FFFFFF"/>
          <w:lang w:val="en-US" w:eastAsia="zh-CN"/>
        </w:rPr>
        <w:t>2</w:t>
      </w:r>
      <w:r>
        <w:rPr>
          <w:rFonts w:hint="eastAsia" w:ascii="仿宋" w:hAnsi="仿宋" w:eastAsia="仿宋" w:cs="仿宋"/>
          <w:color w:val="000000"/>
          <w:sz w:val="32"/>
          <w:szCs w:val="32"/>
          <w:highlight w:val="none"/>
          <w:shd w:val="clear" w:color="auto" w:fill="FFFFFF"/>
        </w:rPr>
        <w:t>条，机构领导</w:t>
      </w:r>
      <w:r>
        <w:rPr>
          <w:rFonts w:hint="eastAsia" w:ascii="仿宋" w:hAnsi="仿宋" w:eastAsia="仿宋" w:cs="仿宋"/>
          <w:color w:val="000000"/>
          <w:sz w:val="32"/>
          <w:szCs w:val="32"/>
          <w:highlight w:val="none"/>
          <w:shd w:val="clear" w:color="auto" w:fill="FFFFFF"/>
          <w:lang w:val="en-US" w:eastAsia="zh-CN"/>
        </w:rPr>
        <w:t>1</w:t>
      </w:r>
      <w:r>
        <w:rPr>
          <w:rFonts w:hint="eastAsia" w:ascii="仿宋" w:hAnsi="仿宋" w:eastAsia="仿宋" w:cs="仿宋"/>
          <w:color w:val="000000"/>
          <w:sz w:val="32"/>
          <w:szCs w:val="32"/>
          <w:highlight w:val="none"/>
          <w:shd w:val="clear" w:color="auto" w:fill="FFFFFF"/>
        </w:rPr>
        <w:t>条，机构设置</w:t>
      </w:r>
      <w:r>
        <w:rPr>
          <w:rFonts w:hint="eastAsia" w:ascii="仿宋" w:hAnsi="仿宋" w:eastAsia="仿宋" w:cs="仿宋"/>
          <w:color w:val="000000"/>
          <w:sz w:val="32"/>
          <w:szCs w:val="32"/>
          <w:highlight w:val="none"/>
          <w:shd w:val="clear" w:color="auto" w:fill="FFFFFF"/>
          <w:lang w:val="en-US" w:eastAsia="zh-CN"/>
        </w:rPr>
        <w:t>5</w:t>
      </w:r>
      <w:r>
        <w:rPr>
          <w:rFonts w:hint="eastAsia" w:ascii="仿宋" w:hAnsi="仿宋" w:eastAsia="仿宋" w:cs="仿宋"/>
          <w:color w:val="000000"/>
          <w:sz w:val="32"/>
          <w:szCs w:val="32"/>
          <w:highlight w:val="none"/>
          <w:shd w:val="clear" w:color="auto" w:fill="FFFFFF"/>
        </w:rPr>
        <w:t>条，人事信息</w:t>
      </w:r>
      <w:r>
        <w:rPr>
          <w:rFonts w:hint="eastAsia" w:ascii="仿宋" w:hAnsi="仿宋" w:eastAsia="仿宋" w:cs="仿宋"/>
          <w:color w:val="000000"/>
          <w:sz w:val="32"/>
          <w:szCs w:val="32"/>
          <w:highlight w:val="none"/>
          <w:shd w:val="clear" w:color="auto" w:fill="FFFFFF"/>
          <w:lang w:val="en-US" w:eastAsia="zh-CN"/>
        </w:rPr>
        <w:t>2</w:t>
      </w:r>
      <w:r>
        <w:rPr>
          <w:rFonts w:hint="eastAsia" w:ascii="仿宋" w:hAnsi="仿宋" w:eastAsia="仿宋" w:cs="仿宋"/>
          <w:color w:val="000000"/>
          <w:sz w:val="32"/>
          <w:szCs w:val="32"/>
          <w:highlight w:val="none"/>
          <w:shd w:val="clear" w:color="auto" w:fill="FFFFFF"/>
        </w:rPr>
        <w:t>条，财政</w:t>
      </w:r>
      <w:r>
        <w:rPr>
          <w:rFonts w:hint="eastAsia" w:ascii="仿宋" w:hAnsi="仿宋" w:eastAsia="仿宋" w:cs="仿宋"/>
          <w:color w:val="000000"/>
          <w:sz w:val="32"/>
          <w:szCs w:val="32"/>
          <w:highlight w:val="none"/>
          <w:shd w:val="clear" w:color="auto" w:fill="FFFFFF"/>
          <w:lang w:eastAsia="zh-CN"/>
        </w:rPr>
        <w:t>资金</w:t>
      </w:r>
      <w:r>
        <w:rPr>
          <w:rFonts w:hint="eastAsia" w:ascii="仿宋" w:hAnsi="仿宋" w:eastAsia="仿宋" w:cs="仿宋"/>
          <w:color w:val="000000"/>
          <w:sz w:val="32"/>
          <w:szCs w:val="32"/>
          <w:highlight w:val="none"/>
          <w:shd w:val="clear" w:color="auto" w:fill="FFFFFF"/>
          <w:lang w:val="en-US" w:eastAsia="zh-CN"/>
        </w:rPr>
        <w:t>3</w:t>
      </w:r>
      <w:r>
        <w:rPr>
          <w:rFonts w:hint="eastAsia" w:ascii="仿宋" w:hAnsi="仿宋" w:eastAsia="仿宋" w:cs="仿宋"/>
          <w:color w:val="000000"/>
          <w:sz w:val="32"/>
          <w:szCs w:val="32"/>
          <w:highlight w:val="none"/>
          <w:shd w:val="clear" w:color="auto" w:fill="FFFFFF"/>
        </w:rPr>
        <w:t>条，</w:t>
      </w:r>
      <w:r>
        <w:rPr>
          <w:rFonts w:hint="eastAsia" w:ascii="仿宋" w:hAnsi="仿宋" w:eastAsia="仿宋" w:cs="仿宋"/>
          <w:color w:val="000000"/>
          <w:sz w:val="32"/>
          <w:szCs w:val="32"/>
          <w:highlight w:val="none"/>
          <w:shd w:val="clear" w:color="auto" w:fill="FFFFFF"/>
          <w:lang w:eastAsia="zh-CN"/>
        </w:rPr>
        <w:t>依申请公开</w:t>
      </w:r>
      <w:r>
        <w:rPr>
          <w:rFonts w:hint="eastAsia" w:ascii="仿宋" w:hAnsi="仿宋" w:eastAsia="仿宋" w:cs="仿宋"/>
          <w:color w:val="000000"/>
          <w:sz w:val="32"/>
          <w:szCs w:val="32"/>
          <w:highlight w:val="none"/>
          <w:shd w:val="clear" w:color="auto" w:fill="FFFFFF"/>
          <w:lang w:val="en-US" w:eastAsia="zh-CN"/>
        </w:rPr>
        <w:t>5条，监督保障9条，医疗救助9条，公立医疗机构药品医用设备采购5条，招标采购2条，财政预决算4条，行政职权目录总表1条，行政审批4条，行政处罚3条，行政强制2条，</w:t>
      </w:r>
      <w:r>
        <w:rPr>
          <w:rStyle w:val="6"/>
          <w:rFonts w:hint="eastAsia" w:ascii="仿宋" w:hAnsi="仿宋" w:eastAsia="仿宋" w:cs="仿宋"/>
          <w:b w:val="0"/>
          <w:bCs/>
          <w:color w:val="auto"/>
          <w:sz w:val="32"/>
          <w:szCs w:val="32"/>
          <w:highlight w:val="none"/>
        </w:rPr>
        <w:t>社会公益事业及重点民生领域</w:t>
      </w:r>
      <w:r>
        <w:rPr>
          <w:rStyle w:val="6"/>
          <w:rFonts w:hint="eastAsia" w:ascii="仿宋" w:hAnsi="仿宋" w:eastAsia="仿宋" w:cs="仿宋"/>
          <w:b w:val="0"/>
          <w:bCs/>
          <w:color w:val="auto"/>
          <w:sz w:val="32"/>
          <w:szCs w:val="32"/>
          <w:highlight w:val="none"/>
          <w:lang w:val="en-US" w:eastAsia="zh-CN"/>
        </w:rPr>
        <w:t>6条，</w:t>
      </w:r>
      <w:r>
        <w:rPr>
          <w:rFonts w:hint="eastAsia" w:ascii="仿宋" w:hAnsi="仿宋" w:eastAsia="仿宋" w:cs="仿宋"/>
          <w:color w:val="000000"/>
          <w:sz w:val="32"/>
          <w:szCs w:val="32"/>
          <w:highlight w:val="none"/>
          <w:shd w:val="clear" w:color="auto" w:fill="FFFFFF"/>
        </w:rPr>
        <w:t>新闻发布</w:t>
      </w:r>
      <w:r>
        <w:rPr>
          <w:rFonts w:hint="eastAsia" w:ascii="仿宋" w:hAnsi="仿宋" w:eastAsia="仿宋" w:cs="仿宋"/>
          <w:color w:val="000000"/>
          <w:sz w:val="32"/>
          <w:szCs w:val="32"/>
          <w:highlight w:val="none"/>
          <w:shd w:val="clear" w:color="auto" w:fill="FFFFFF"/>
          <w:lang w:val="en-US" w:eastAsia="zh-CN"/>
        </w:rPr>
        <w:t>2</w:t>
      </w:r>
      <w:r>
        <w:rPr>
          <w:rFonts w:hint="eastAsia" w:ascii="仿宋" w:hAnsi="仿宋" w:eastAsia="仿宋" w:cs="仿宋"/>
          <w:color w:val="000000"/>
          <w:sz w:val="32"/>
          <w:szCs w:val="32"/>
          <w:highlight w:val="none"/>
          <w:shd w:val="clear" w:color="auto" w:fill="FFFFFF"/>
        </w:rPr>
        <w:t>条，政策解读</w:t>
      </w:r>
      <w:r>
        <w:rPr>
          <w:rFonts w:hint="eastAsia" w:ascii="仿宋" w:hAnsi="仿宋" w:eastAsia="仿宋" w:cs="仿宋"/>
          <w:color w:val="000000"/>
          <w:sz w:val="32"/>
          <w:szCs w:val="32"/>
          <w:highlight w:val="none"/>
          <w:shd w:val="clear" w:color="auto" w:fill="FFFFFF"/>
          <w:lang w:val="en-US" w:eastAsia="zh-CN"/>
        </w:rPr>
        <w:t>4</w:t>
      </w:r>
      <w:r>
        <w:rPr>
          <w:rFonts w:hint="eastAsia" w:ascii="仿宋" w:hAnsi="仿宋" w:eastAsia="仿宋" w:cs="仿宋"/>
          <w:color w:val="000000"/>
          <w:sz w:val="32"/>
          <w:szCs w:val="32"/>
          <w:highlight w:val="none"/>
          <w:shd w:val="clear" w:color="auto" w:fill="FFFFFF"/>
        </w:rPr>
        <w:t>条。</w:t>
      </w:r>
    </w:p>
    <w:p>
      <w:pPr>
        <w:widowControl/>
        <w:shd w:val="clear"/>
        <w:ind w:firstLine="640" w:firstLineChars="200"/>
        <w:rPr>
          <w:rFonts w:hint="eastAsia"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二、主动公开政府信息情况</w:t>
      </w:r>
    </w:p>
    <w:tbl>
      <w:tblPr>
        <w:tblStyle w:val="4"/>
        <w:tblW w:w="8140" w:type="dxa"/>
        <w:jc w:val="center"/>
        <w:tblLayout w:type="fixed"/>
        <w:tblCellMar>
          <w:top w:w="0" w:type="dxa"/>
          <w:left w:w="0" w:type="dxa"/>
          <w:bottom w:w="0" w:type="dxa"/>
          <w:right w:w="0" w:type="dxa"/>
        </w:tblCellMar>
      </w:tblPr>
      <w:tblGrid>
        <w:gridCol w:w="3113"/>
        <w:gridCol w:w="2162"/>
        <w:gridCol w:w="984"/>
        <w:gridCol w:w="1881"/>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行政法规、规章和规范性文件</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信息内容</w:t>
            </w:r>
          </w:p>
        </w:tc>
        <w:tc>
          <w:tcPr>
            <w:tcW w:w="216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本年新</w:t>
            </w:r>
            <w:r>
              <w:rPr>
                <w:rFonts w:hint="eastAsia" w:ascii="仿宋" w:hAnsi="仿宋" w:eastAsia="仿宋" w:cs="仿宋"/>
                <w:color w:val="000000"/>
                <w:kern w:val="0"/>
                <w:sz w:val="32"/>
                <w:szCs w:val="32"/>
              </w:rPr>
              <w:br w:type="textWrapping"/>
            </w:r>
            <w:r>
              <w:rPr>
                <w:rFonts w:hint="eastAsia" w:ascii="仿宋" w:hAnsi="仿宋" w:eastAsia="仿宋" w:cs="仿宋"/>
                <w:kern w:val="0"/>
                <w:sz w:val="32"/>
                <w:szCs w:val="32"/>
              </w:rPr>
              <w:t>制作数量</w:t>
            </w:r>
          </w:p>
        </w:tc>
        <w:tc>
          <w:tcPr>
            <w:tcW w:w="9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本年新</w:t>
            </w:r>
            <w:r>
              <w:rPr>
                <w:rFonts w:hint="eastAsia" w:ascii="仿宋" w:hAnsi="仿宋" w:eastAsia="仿宋" w:cs="仿宋"/>
                <w:kern w:val="0"/>
                <w:sz w:val="32"/>
                <w:szCs w:val="32"/>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规章</w:t>
            </w:r>
          </w:p>
        </w:tc>
        <w:tc>
          <w:tcPr>
            <w:tcW w:w="21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　</w:t>
            </w:r>
          </w:p>
        </w:tc>
        <w:tc>
          <w:tcPr>
            <w:tcW w:w="9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　</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规范性文件</w:t>
            </w:r>
          </w:p>
        </w:tc>
        <w:tc>
          <w:tcPr>
            <w:tcW w:w="21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8</w:t>
            </w:r>
          </w:p>
        </w:tc>
        <w:tc>
          <w:tcPr>
            <w:tcW w:w="9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8</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　</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办理行政许可和其他对外管理服务事项的依据、条件、程序以及办理结果</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信息内容</w:t>
            </w:r>
          </w:p>
        </w:tc>
        <w:tc>
          <w:tcPr>
            <w:tcW w:w="216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上一年项目数量</w:t>
            </w:r>
          </w:p>
        </w:tc>
        <w:tc>
          <w:tcPr>
            <w:tcW w:w="9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行政许可</w:t>
            </w:r>
          </w:p>
        </w:tc>
        <w:tc>
          <w:tcPr>
            <w:tcW w:w="21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color w:val="000000"/>
                <w:kern w:val="0"/>
                <w:sz w:val="32"/>
                <w:szCs w:val="32"/>
                <w:lang w:val="en-US" w:eastAsia="zh-CN"/>
              </w:rPr>
              <w:t>0</w:t>
            </w:r>
          </w:p>
        </w:tc>
        <w:tc>
          <w:tcPr>
            <w:tcW w:w="9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tabs>
                <w:tab w:val="center" w:pos="384"/>
              </w:tabs>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lang w:eastAsia="zh-CN"/>
              </w:rPr>
              <w:tab/>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　</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　</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其他对外管理服务事项</w:t>
            </w:r>
          </w:p>
        </w:tc>
        <w:tc>
          <w:tcPr>
            <w:tcW w:w="21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0</w:t>
            </w:r>
          </w:p>
        </w:tc>
        <w:tc>
          <w:tcPr>
            <w:tcW w:w="9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　</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　</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实施行政处罚、行政强制的依据、条件、程序以及本行政机关认为具有一定社会影响的行政处罚决定</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信息内容</w:t>
            </w:r>
          </w:p>
        </w:tc>
        <w:tc>
          <w:tcPr>
            <w:tcW w:w="216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上一年项目数量</w:t>
            </w:r>
          </w:p>
        </w:tc>
        <w:tc>
          <w:tcPr>
            <w:tcW w:w="9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行政处罚</w:t>
            </w:r>
          </w:p>
        </w:tc>
        <w:tc>
          <w:tcPr>
            <w:tcW w:w="21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0</w:t>
            </w:r>
          </w:p>
        </w:tc>
        <w:tc>
          <w:tcPr>
            <w:tcW w:w="9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　</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行政强制</w:t>
            </w:r>
          </w:p>
        </w:tc>
        <w:tc>
          <w:tcPr>
            <w:tcW w:w="21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0</w:t>
            </w:r>
          </w:p>
        </w:tc>
        <w:tc>
          <w:tcPr>
            <w:tcW w:w="9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　</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行政事业性收费项目及其依据、标准</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信息内容</w:t>
            </w:r>
          </w:p>
        </w:tc>
        <w:tc>
          <w:tcPr>
            <w:tcW w:w="21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上一年项目数量</w:t>
            </w:r>
          </w:p>
        </w:tc>
        <w:tc>
          <w:tcPr>
            <w:tcW w:w="2865"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hd w:val="clear"/>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行政事业性收费</w:t>
            </w:r>
          </w:p>
        </w:tc>
        <w:tc>
          <w:tcPr>
            <w:tcW w:w="21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0</w:t>
            </w:r>
          </w:p>
        </w:tc>
        <w:tc>
          <w:tcPr>
            <w:tcW w:w="2865"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hd w:val="clear"/>
              <w:ind w:firstLine="640" w:firstLineChars="200"/>
              <w:jc w:val="center"/>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无</w:t>
            </w:r>
          </w:p>
        </w:tc>
      </w:tr>
      <w:tr>
        <w:tblPrEx>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政府集中采购项目的目录、标准及实施情况</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信息内容</w:t>
            </w:r>
          </w:p>
        </w:tc>
        <w:tc>
          <w:tcPr>
            <w:tcW w:w="21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采购项目数量</w:t>
            </w:r>
          </w:p>
        </w:tc>
        <w:tc>
          <w:tcPr>
            <w:tcW w:w="2865"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hd w:val="clear"/>
              <w:jc w:val="center"/>
              <w:rPr>
                <w:rFonts w:hint="eastAsia" w:ascii="仿宋" w:hAnsi="仿宋" w:eastAsia="仿宋" w:cs="仿宋"/>
                <w:kern w:val="0"/>
                <w:sz w:val="32"/>
                <w:szCs w:val="32"/>
              </w:rPr>
            </w:pPr>
            <w:r>
              <w:rPr>
                <w:rFonts w:hint="eastAsia" w:ascii="仿宋" w:hAnsi="仿宋" w:eastAsia="仿宋" w:cs="仿宋"/>
                <w:color w:val="000000"/>
                <w:kern w:val="0"/>
                <w:sz w:val="32"/>
                <w:szCs w:val="32"/>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政府集中采购</w:t>
            </w:r>
          </w:p>
        </w:tc>
        <w:tc>
          <w:tcPr>
            <w:tcW w:w="21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hd w:val="clear"/>
              <w:tabs>
                <w:tab w:val="center" w:pos="973"/>
              </w:tabs>
              <w:ind w:firstLine="640" w:firstLineChars="200"/>
              <w:jc w:val="left"/>
              <w:rPr>
                <w:rFonts w:hint="default" w:ascii="仿宋" w:hAnsi="仿宋" w:eastAsia="仿宋" w:cs="仿宋"/>
                <w:kern w:val="0"/>
                <w:sz w:val="32"/>
                <w:szCs w:val="32"/>
                <w:lang w:val="en-US" w:eastAsia="zh-CN"/>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eastAsia="zh-CN"/>
              </w:rPr>
              <w:tab/>
            </w:r>
            <w:r>
              <w:rPr>
                <w:rFonts w:hint="eastAsia" w:ascii="仿宋" w:hAnsi="仿宋" w:eastAsia="仿宋" w:cs="仿宋"/>
                <w:color w:val="000000"/>
                <w:kern w:val="0"/>
                <w:sz w:val="32"/>
                <w:szCs w:val="32"/>
                <w:lang w:val="en-US" w:eastAsia="zh-CN"/>
              </w:rPr>
              <w:t>0</w:t>
            </w:r>
          </w:p>
        </w:tc>
        <w:tc>
          <w:tcPr>
            <w:tcW w:w="2865"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w:t>
            </w:r>
          </w:p>
        </w:tc>
      </w:tr>
    </w:tbl>
    <w:p>
      <w:pPr>
        <w:widowControl/>
        <w:shd w:val="clear"/>
        <w:rPr>
          <w:rFonts w:hint="eastAsia" w:ascii="仿宋" w:hAnsi="仿宋" w:eastAsia="仿宋" w:cs="仿宋"/>
          <w:b/>
          <w:color w:val="333333"/>
          <w:kern w:val="0"/>
          <w:sz w:val="32"/>
          <w:szCs w:val="32"/>
          <w:lang w:eastAsia="zh-CN"/>
        </w:rPr>
      </w:pPr>
    </w:p>
    <w:p>
      <w:pPr>
        <w:widowControl/>
        <w:shd w:val="clear"/>
        <w:rPr>
          <w:rFonts w:hint="eastAsia" w:ascii="仿宋" w:hAnsi="仿宋" w:eastAsia="仿宋" w:cs="仿宋"/>
          <w:b/>
          <w:color w:val="333333"/>
          <w:kern w:val="0"/>
          <w:sz w:val="32"/>
          <w:szCs w:val="32"/>
          <w:lang w:eastAsia="zh-CN"/>
        </w:rPr>
      </w:pPr>
    </w:p>
    <w:p>
      <w:pPr>
        <w:widowControl/>
        <w:shd w:val="clear"/>
        <w:rPr>
          <w:rFonts w:hint="eastAsia"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lang w:eastAsia="zh-CN"/>
        </w:rPr>
        <w:t>三、</w:t>
      </w:r>
      <w:r>
        <w:rPr>
          <w:rFonts w:hint="eastAsia" w:ascii="黑体" w:hAnsi="黑体" w:eastAsia="黑体" w:cs="黑体"/>
          <w:b w:val="0"/>
          <w:bCs/>
          <w:color w:val="333333"/>
          <w:kern w:val="0"/>
          <w:sz w:val="32"/>
          <w:szCs w:val="32"/>
        </w:rPr>
        <w:t>收到和处理政府信息公开申请情况</w:t>
      </w:r>
    </w:p>
    <w:tbl>
      <w:tblPr>
        <w:tblStyle w:val="4"/>
        <w:tblW w:w="10371" w:type="dxa"/>
        <w:jc w:val="center"/>
        <w:tblLayout w:type="fixed"/>
        <w:tblCellMar>
          <w:top w:w="0" w:type="dxa"/>
          <w:left w:w="0" w:type="dxa"/>
          <w:bottom w:w="0" w:type="dxa"/>
          <w:right w:w="0" w:type="dxa"/>
        </w:tblCellMar>
      </w:tblPr>
      <w:tblGrid>
        <w:gridCol w:w="965"/>
        <w:gridCol w:w="1126"/>
        <w:gridCol w:w="1994"/>
        <w:gridCol w:w="860"/>
        <w:gridCol w:w="936"/>
        <w:gridCol w:w="936"/>
        <w:gridCol w:w="936"/>
        <w:gridCol w:w="936"/>
        <w:gridCol w:w="687"/>
        <w:gridCol w:w="995"/>
      </w:tblGrid>
      <w:tr>
        <w:tblPrEx>
          <w:tblCellMar>
            <w:top w:w="0" w:type="dxa"/>
            <w:left w:w="0" w:type="dxa"/>
            <w:bottom w:w="0" w:type="dxa"/>
            <w:right w:w="0" w:type="dxa"/>
          </w:tblCellMar>
        </w:tblPrEx>
        <w:trPr>
          <w:jc w:val="center"/>
        </w:trPr>
        <w:tc>
          <w:tcPr>
            <w:tcW w:w="4085"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（本列数据的勾稽关系为：第一项加第二项之和，等于第三项加第四项之和）</w:t>
            </w:r>
          </w:p>
        </w:tc>
        <w:tc>
          <w:tcPr>
            <w:tcW w:w="6286"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rPr>
              <w:t>申请人情况</w:t>
            </w:r>
          </w:p>
        </w:tc>
      </w:tr>
      <w:tr>
        <w:tblPrEx>
          <w:tblCellMar>
            <w:top w:w="0" w:type="dxa"/>
            <w:left w:w="0" w:type="dxa"/>
            <w:bottom w:w="0" w:type="dxa"/>
            <w:right w:w="0" w:type="dxa"/>
          </w:tblCellMar>
        </w:tblPrEx>
        <w:trPr>
          <w:jc w:val="center"/>
        </w:trPr>
        <w:tc>
          <w:tcPr>
            <w:tcW w:w="4085"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8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自然人</w:t>
            </w:r>
          </w:p>
        </w:tc>
        <w:tc>
          <w:tcPr>
            <w:tcW w:w="4431"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jc w:val="center"/>
              <w:rPr>
                <w:rFonts w:hint="eastAsia" w:ascii="仿宋" w:hAnsi="仿宋" w:eastAsia="仿宋" w:cs="仿宋"/>
                <w:kern w:val="0"/>
                <w:sz w:val="32"/>
                <w:szCs w:val="32"/>
              </w:rPr>
            </w:pPr>
            <w:r>
              <w:rPr>
                <w:rFonts w:hint="eastAsia" w:ascii="仿宋" w:hAnsi="仿宋" w:eastAsia="仿宋" w:cs="仿宋"/>
                <w:kern w:val="0"/>
                <w:sz w:val="32"/>
                <w:szCs w:val="32"/>
              </w:rPr>
              <w:t>法人或其他组织</w:t>
            </w:r>
          </w:p>
        </w:tc>
        <w:tc>
          <w:tcPr>
            <w:tcW w:w="99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总计</w:t>
            </w:r>
          </w:p>
        </w:tc>
      </w:tr>
      <w:tr>
        <w:tblPrEx>
          <w:tblCellMar>
            <w:top w:w="0" w:type="dxa"/>
            <w:left w:w="0" w:type="dxa"/>
            <w:bottom w:w="0" w:type="dxa"/>
            <w:right w:w="0" w:type="dxa"/>
          </w:tblCellMar>
        </w:tblPrEx>
        <w:trPr>
          <w:jc w:val="center"/>
        </w:trPr>
        <w:tc>
          <w:tcPr>
            <w:tcW w:w="4085"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860" w:type="dxa"/>
            <w:vMerge w:val="continue"/>
            <w:tcBorders>
              <w:top w:val="nil"/>
              <w:left w:val="nil"/>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商业企业</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科研机构</w:t>
            </w:r>
          </w:p>
        </w:tc>
        <w:tc>
          <w:tcPr>
            <w:tcW w:w="9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社会公益组织</w:t>
            </w:r>
          </w:p>
        </w:tc>
        <w:tc>
          <w:tcPr>
            <w:tcW w:w="9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法律服务机构</w:t>
            </w:r>
          </w:p>
        </w:tc>
        <w:tc>
          <w:tcPr>
            <w:tcW w:w="68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其他</w:t>
            </w:r>
          </w:p>
        </w:tc>
        <w:tc>
          <w:tcPr>
            <w:tcW w:w="995" w:type="dxa"/>
            <w:vMerge w:val="continue"/>
            <w:tcBorders>
              <w:top w:val="single" w:color="auto" w:sz="8" w:space="0"/>
              <w:left w:val="nil"/>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r>
      <w:tr>
        <w:tblPrEx>
          <w:tblCellMar>
            <w:top w:w="0" w:type="dxa"/>
            <w:left w:w="0" w:type="dxa"/>
            <w:bottom w:w="0" w:type="dxa"/>
            <w:right w:w="0" w:type="dxa"/>
          </w:tblCellMar>
        </w:tblPrEx>
        <w:trPr>
          <w:jc w:val="center"/>
        </w:trPr>
        <w:tc>
          <w:tcPr>
            <w:tcW w:w="408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一、本年新收政府信息公开申请数量</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408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二、上年结转政府信息公开申请数量</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r>
              <w:rPr>
                <w:rFonts w:hint="eastAsia" w:ascii="仿宋" w:hAnsi="仿宋" w:eastAsia="仿宋" w:cs="仿宋"/>
                <w:kern w:val="0"/>
                <w:sz w:val="32"/>
                <w:szCs w:val="32"/>
                <w:lang w:val="en-US" w:eastAsia="zh-CN"/>
              </w:rPr>
              <w:t>0</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96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三、本年度办理结果</w:t>
            </w:r>
          </w:p>
        </w:tc>
        <w:tc>
          <w:tcPr>
            <w:tcW w:w="312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（一）予以公开</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c>
          <w:tcPr>
            <w:tcW w:w="9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312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（二）部分公开（区分处理的，只计这一情形，不计其他情形）</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0</w:t>
            </w:r>
          </w:p>
        </w:tc>
      </w:tr>
      <w:tr>
        <w:tblPrEx>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12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（三）不予公开</w:t>
            </w:r>
          </w:p>
        </w:tc>
        <w:tc>
          <w:tcPr>
            <w:tcW w:w="19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1.属于国家秘密</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c>
          <w:tcPr>
            <w:tcW w:w="9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126" w:type="dxa"/>
            <w:vMerge w:val="continue"/>
            <w:tcBorders>
              <w:top w:val="nil"/>
              <w:left w:val="nil"/>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9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2.其他法律行政法规禁止公开</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126" w:type="dxa"/>
            <w:vMerge w:val="continue"/>
            <w:tcBorders>
              <w:top w:val="nil"/>
              <w:left w:val="nil"/>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9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3.危及“三安全一稳定”</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126" w:type="dxa"/>
            <w:vMerge w:val="continue"/>
            <w:tcBorders>
              <w:top w:val="nil"/>
              <w:left w:val="nil"/>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9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4.保护第三方合法权益</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 </w:t>
            </w:r>
            <w:r>
              <w:rPr>
                <w:rFonts w:hint="eastAsia" w:ascii="仿宋" w:hAnsi="仿宋" w:eastAsia="仿宋" w:cs="仿宋"/>
                <w:kern w:val="0"/>
                <w:sz w:val="32"/>
                <w:szCs w:val="32"/>
                <w:lang w:val="en-US" w:eastAsia="zh-CN"/>
              </w:rPr>
              <w:t>0</w:t>
            </w:r>
          </w:p>
        </w:tc>
      </w:tr>
      <w:tr>
        <w:tblPrEx>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126" w:type="dxa"/>
            <w:vMerge w:val="continue"/>
            <w:tcBorders>
              <w:top w:val="nil"/>
              <w:left w:val="nil"/>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9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5.属于三类内部事务信息</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126" w:type="dxa"/>
            <w:vMerge w:val="continue"/>
            <w:tcBorders>
              <w:top w:val="nil"/>
              <w:left w:val="nil"/>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9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6.属于四类过程性信息</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126" w:type="dxa"/>
            <w:vMerge w:val="continue"/>
            <w:tcBorders>
              <w:top w:val="nil"/>
              <w:left w:val="nil"/>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9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7.属于行政执法案卷</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126" w:type="dxa"/>
            <w:vMerge w:val="continue"/>
            <w:tcBorders>
              <w:top w:val="nil"/>
              <w:left w:val="nil"/>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9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8.属于行政查询事项</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r>
              <w:rPr>
                <w:rFonts w:hint="eastAsia" w:ascii="仿宋" w:hAnsi="仿宋" w:eastAsia="仿宋" w:cs="仿宋"/>
                <w:kern w:val="0"/>
                <w:sz w:val="32"/>
                <w:szCs w:val="32"/>
                <w:lang w:val="en-US" w:eastAsia="zh-CN"/>
              </w:rPr>
              <w:t>0</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r>
              <w:rPr>
                <w:rFonts w:hint="eastAsia" w:ascii="仿宋" w:hAnsi="仿宋" w:eastAsia="仿宋" w:cs="仿宋"/>
                <w:kern w:val="0"/>
                <w:sz w:val="32"/>
                <w:szCs w:val="32"/>
                <w:lang w:val="en-US" w:eastAsia="zh-CN"/>
              </w:rPr>
              <w:t>0</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12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（四）无法提供</w:t>
            </w:r>
          </w:p>
        </w:tc>
        <w:tc>
          <w:tcPr>
            <w:tcW w:w="19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1.本机关不掌握相关政府信息</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126" w:type="dxa"/>
            <w:vMerge w:val="continue"/>
            <w:tcBorders>
              <w:top w:val="nil"/>
              <w:left w:val="nil"/>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9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2.没有现成信息需要另行制作</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r>
              <w:rPr>
                <w:rFonts w:hint="eastAsia" w:ascii="仿宋" w:hAnsi="仿宋" w:eastAsia="仿宋" w:cs="仿宋"/>
                <w:kern w:val="0"/>
                <w:sz w:val="32"/>
                <w:szCs w:val="32"/>
                <w:lang w:val="en-US" w:eastAsia="zh-CN"/>
              </w:rPr>
              <w:t>0</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126" w:type="dxa"/>
            <w:vMerge w:val="continue"/>
            <w:tcBorders>
              <w:top w:val="nil"/>
              <w:left w:val="nil"/>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9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3.补正后申请内容仍不明确</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12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（五）不予处理</w:t>
            </w:r>
          </w:p>
        </w:tc>
        <w:tc>
          <w:tcPr>
            <w:tcW w:w="19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1.信访举报投诉类申请</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126" w:type="dxa"/>
            <w:vMerge w:val="continue"/>
            <w:tcBorders>
              <w:top w:val="nil"/>
              <w:left w:val="nil"/>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9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2.重复申请</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126" w:type="dxa"/>
            <w:vMerge w:val="continue"/>
            <w:tcBorders>
              <w:top w:val="nil"/>
              <w:left w:val="nil"/>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9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3.要求提供公开出版物</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 </w:t>
            </w:r>
            <w:r>
              <w:rPr>
                <w:rFonts w:hint="eastAsia" w:ascii="仿宋" w:hAnsi="仿宋" w:eastAsia="仿宋" w:cs="仿宋"/>
                <w:kern w:val="0"/>
                <w:sz w:val="32"/>
                <w:szCs w:val="32"/>
                <w:lang w:val="en-US" w:eastAsia="zh-CN"/>
              </w:rPr>
              <w:t>0</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126" w:type="dxa"/>
            <w:vMerge w:val="continue"/>
            <w:tcBorders>
              <w:top w:val="nil"/>
              <w:left w:val="nil"/>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9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rPr>
            </w:pPr>
            <w:r>
              <w:rPr>
                <w:rFonts w:hint="eastAsia" w:ascii="仿宋" w:hAnsi="仿宋" w:eastAsia="仿宋" w:cs="仿宋"/>
                <w:kern w:val="0"/>
                <w:sz w:val="32"/>
                <w:szCs w:val="32"/>
              </w:rPr>
              <w:t>4.无正当理由大量反复申请</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126" w:type="dxa"/>
            <w:vMerge w:val="continue"/>
            <w:tcBorders>
              <w:top w:val="nil"/>
              <w:left w:val="nil"/>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19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5.要求行政机关确认或重新出具已获取信息</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00</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312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（六）其他处理</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312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（七）总计</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 </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r>
      <w:tr>
        <w:tblPrEx>
          <w:tblCellMar>
            <w:top w:w="0" w:type="dxa"/>
            <w:left w:w="0" w:type="dxa"/>
            <w:bottom w:w="0" w:type="dxa"/>
            <w:right w:w="0" w:type="dxa"/>
          </w:tblCellMar>
        </w:tblPrEx>
        <w:trPr>
          <w:jc w:val="center"/>
        </w:trPr>
        <w:tc>
          <w:tcPr>
            <w:tcW w:w="408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四、结转下年度继续办理</w:t>
            </w:r>
          </w:p>
        </w:tc>
        <w:tc>
          <w:tcPr>
            <w:tcW w:w="8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00</w:t>
            </w:r>
          </w:p>
        </w:tc>
        <w:tc>
          <w:tcPr>
            <w:tcW w:w="9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w:t>
            </w:r>
          </w:p>
        </w:tc>
      </w:tr>
    </w:tbl>
    <w:p>
      <w:pPr>
        <w:widowControl/>
        <w:shd w:val="clear"/>
        <w:ind w:firstLine="600" w:firstLineChars="200"/>
        <w:rPr>
          <w:rFonts w:ascii="楷体" w:hAnsi="楷体" w:eastAsia="楷体" w:cs="楷体"/>
          <w:bCs/>
          <w:color w:val="333333"/>
          <w:kern w:val="0"/>
          <w:sz w:val="30"/>
          <w:szCs w:val="30"/>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widowControl/>
        <w:shd w:val="clear"/>
        <w:ind w:firstLine="640" w:firstLineChars="200"/>
        <w:rPr>
          <w:rFonts w:hint="eastAsia"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四、政府信息公开行政复议、行政诉讼情况</w:t>
      </w:r>
    </w:p>
    <w:tbl>
      <w:tblPr>
        <w:tblStyle w:val="4"/>
        <w:tblW w:w="14040" w:type="dxa"/>
        <w:jc w:val="center"/>
        <w:tblLayout w:type="fixed"/>
        <w:tblCellMar>
          <w:top w:w="0" w:type="dxa"/>
          <w:left w:w="0" w:type="dxa"/>
          <w:bottom w:w="0" w:type="dxa"/>
          <w:right w:w="0" w:type="dxa"/>
        </w:tblCellMar>
      </w:tblPr>
      <w:tblGrid>
        <w:gridCol w:w="936"/>
        <w:gridCol w:w="936"/>
        <w:gridCol w:w="936"/>
        <w:gridCol w:w="936"/>
        <w:gridCol w:w="936"/>
        <w:gridCol w:w="936"/>
        <w:gridCol w:w="936"/>
        <w:gridCol w:w="936"/>
        <w:gridCol w:w="936"/>
        <w:gridCol w:w="936"/>
        <w:gridCol w:w="936"/>
        <w:gridCol w:w="936"/>
        <w:gridCol w:w="936"/>
        <w:gridCol w:w="936"/>
        <w:gridCol w:w="936"/>
      </w:tblGrid>
      <w:tr>
        <w:trPr>
          <w:jc w:val="center"/>
        </w:trPr>
        <w:tc>
          <w:tcPr>
            <w:tcW w:w="468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rPr>
              <w:t>行政复议</w:t>
            </w:r>
          </w:p>
        </w:tc>
        <w:tc>
          <w:tcPr>
            <w:tcW w:w="9360"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rPr>
              <w:t>行政诉讼</w:t>
            </w:r>
          </w:p>
        </w:tc>
      </w:tr>
      <w:tr>
        <w:tblPrEx>
          <w:tblCellMar>
            <w:top w:w="0" w:type="dxa"/>
            <w:left w:w="0" w:type="dxa"/>
            <w:bottom w:w="0" w:type="dxa"/>
            <w:right w:w="0" w:type="dxa"/>
          </w:tblCellMar>
        </w:tblPrEx>
        <w:trPr>
          <w:jc w:val="center"/>
        </w:trPr>
        <w:tc>
          <w:tcPr>
            <w:tcW w:w="9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结果维持</w:t>
            </w:r>
          </w:p>
        </w:tc>
        <w:tc>
          <w:tcPr>
            <w:tcW w:w="93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结果纠正</w:t>
            </w:r>
          </w:p>
        </w:tc>
        <w:tc>
          <w:tcPr>
            <w:tcW w:w="93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其他结果</w:t>
            </w:r>
          </w:p>
        </w:tc>
        <w:tc>
          <w:tcPr>
            <w:tcW w:w="93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尚未审结</w:t>
            </w:r>
          </w:p>
        </w:tc>
        <w:tc>
          <w:tcPr>
            <w:tcW w:w="93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总计</w:t>
            </w:r>
          </w:p>
        </w:tc>
        <w:tc>
          <w:tcPr>
            <w:tcW w:w="468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rPr>
              <w:t>未经复议直接起诉</w:t>
            </w:r>
          </w:p>
        </w:tc>
        <w:tc>
          <w:tcPr>
            <w:tcW w:w="468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rPr>
              <w:t>复议后起诉</w:t>
            </w:r>
          </w:p>
        </w:tc>
      </w:tr>
      <w:tr>
        <w:tblPrEx>
          <w:tblCellMar>
            <w:top w:w="0" w:type="dxa"/>
            <w:left w:w="0" w:type="dxa"/>
            <w:bottom w:w="0" w:type="dxa"/>
            <w:right w:w="0" w:type="dxa"/>
          </w:tblCellMar>
        </w:tblPrEx>
        <w:trPr>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936" w:type="dxa"/>
            <w:vMerge w:val="continue"/>
            <w:tcBorders>
              <w:top w:val="nil"/>
              <w:left w:val="nil"/>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936" w:type="dxa"/>
            <w:vMerge w:val="continue"/>
            <w:tcBorders>
              <w:top w:val="single" w:color="auto" w:sz="8" w:space="0"/>
              <w:left w:val="nil"/>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936" w:type="dxa"/>
            <w:vMerge w:val="continue"/>
            <w:tcBorders>
              <w:top w:val="single" w:color="auto" w:sz="8" w:space="0"/>
              <w:left w:val="nil"/>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936" w:type="dxa"/>
            <w:vMerge w:val="continue"/>
            <w:tcBorders>
              <w:top w:val="single" w:color="auto" w:sz="8" w:space="0"/>
              <w:left w:val="nil"/>
              <w:bottom w:val="single" w:color="auto" w:sz="8" w:space="0"/>
              <w:right w:val="single" w:color="auto" w:sz="8" w:space="0"/>
            </w:tcBorders>
            <w:vAlign w:val="center"/>
          </w:tcPr>
          <w:p>
            <w:pPr>
              <w:widowControl/>
              <w:shd w:val="clear"/>
              <w:ind w:firstLine="640" w:firstLineChars="200"/>
              <w:jc w:val="left"/>
              <w:rPr>
                <w:rFonts w:hint="eastAsia" w:ascii="仿宋" w:hAnsi="仿宋" w:eastAsia="仿宋" w:cs="仿宋"/>
                <w:kern w:val="0"/>
                <w:sz w:val="32"/>
                <w:szCs w:val="32"/>
              </w:rPr>
            </w:pP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结果维持</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结果纠正</w:t>
            </w:r>
          </w:p>
        </w:tc>
        <w:tc>
          <w:tcPr>
            <w:tcW w:w="9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其他结果</w:t>
            </w:r>
          </w:p>
        </w:tc>
        <w:tc>
          <w:tcPr>
            <w:tcW w:w="9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尚未审结</w:t>
            </w:r>
          </w:p>
        </w:tc>
        <w:tc>
          <w:tcPr>
            <w:tcW w:w="9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总计</w:t>
            </w:r>
          </w:p>
        </w:tc>
        <w:tc>
          <w:tcPr>
            <w:tcW w:w="9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结果维持</w:t>
            </w:r>
          </w:p>
        </w:tc>
        <w:tc>
          <w:tcPr>
            <w:tcW w:w="9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结果纠正</w:t>
            </w:r>
          </w:p>
        </w:tc>
        <w:tc>
          <w:tcPr>
            <w:tcW w:w="9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其他结果</w:t>
            </w:r>
          </w:p>
        </w:tc>
        <w:tc>
          <w:tcPr>
            <w:tcW w:w="9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kern w:val="0"/>
                <w:sz w:val="32"/>
                <w:szCs w:val="32"/>
              </w:rPr>
              <w:t>尚未审结</w:t>
            </w:r>
          </w:p>
        </w:tc>
        <w:tc>
          <w:tcPr>
            <w:tcW w:w="9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rPr>
                <w:rFonts w:hint="eastAsia" w:ascii="仿宋" w:hAnsi="仿宋" w:eastAsia="仿宋" w:cs="仿宋"/>
                <w:kern w:val="0"/>
                <w:sz w:val="32"/>
                <w:szCs w:val="32"/>
              </w:rPr>
            </w:pPr>
            <w:r>
              <w:rPr>
                <w:rFonts w:hint="eastAsia" w:ascii="仿宋" w:hAnsi="仿宋" w:eastAsia="仿宋" w:cs="仿宋"/>
                <w:color w:val="000000"/>
                <w:kern w:val="0"/>
                <w:sz w:val="32"/>
                <w:szCs w:val="32"/>
              </w:rPr>
              <w:t>总计</w:t>
            </w:r>
          </w:p>
        </w:tc>
      </w:tr>
      <w:tr>
        <w:tblPrEx>
          <w:tblCellMar>
            <w:top w:w="0" w:type="dxa"/>
            <w:left w:w="0" w:type="dxa"/>
            <w:bottom w:w="0" w:type="dxa"/>
            <w:right w:w="0" w:type="dxa"/>
          </w:tblCellMar>
        </w:tblPrEx>
        <w:trPr>
          <w:jc w:val="center"/>
        </w:trPr>
        <w:tc>
          <w:tcPr>
            <w:tcW w:w="9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w:t>
            </w:r>
          </w:p>
        </w:tc>
        <w:tc>
          <w:tcPr>
            <w:tcW w:w="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0</w:t>
            </w:r>
          </w:p>
        </w:tc>
      </w:tr>
    </w:tbl>
    <w:p>
      <w:pPr>
        <w:widowControl/>
        <w:shd w:val="clear"/>
        <w:ind w:firstLine="640" w:firstLineChars="200"/>
        <w:jc w:val="center"/>
        <w:rPr>
          <w:rFonts w:hint="eastAsia" w:ascii="仿宋" w:hAnsi="仿宋" w:eastAsia="仿宋" w:cs="仿宋"/>
          <w:color w:val="333333"/>
          <w:kern w:val="0"/>
          <w:sz w:val="32"/>
          <w:szCs w:val="32"/>
        </w:rPr>
      </w:pPr>
    </w:p>
    <w:p>
      <w:pPr>
        <w:widowControl/>
        <w:shd w:val="clear"/>
        <w:ind w:firstLine="640" w:firstLineChars="200"/>
        <w:rPr>
          <w:rFonts w:hint="eastAsia" w:ascii="仿宋" w:hAnsi="仿宋" w:eastAsia="仿宋" w:cs="仿宋"/>
          <w:bCs/>
          <w:color w:val="333333"/>
          <w:kern w:val="0"/>
          <w:sz w:val="32"/>
          <w:szCs w:val="32"/>
        </w:rPr>
      </w:pPr>
    </w:p>
    <w:p>
      <w:pPr>
        <w:widowControl/>
        <w:shd w:val="clear"/>
        <w:ind w:firstLine="640" w:firstLineChars="200"/>
        <w:rPr>
          <w:rFonts w:hint="eastAsia" w:ascii="仿宋" w:hAnsi="仿宋" w:eastAsia="仿宋" w:cs="仿宋"/>
          <w:bCs/>
          <w:color w:val="333333"/>
          <w:kern w:val="0"/>
          <w:sz w:val="32"/>
          <w:szCs w:val="32"/>
        </w:rPr>
      </w:pPr>
    </w:p>
    <w:p>
      <w:pPr>
        <w:widowControl/>
        <w:shd w:val="clear"/>
        <w:ind w:firstLine="640" w:firstLineChars="200"/>
        <w:rPr>
          <w:rFonts w:hint="eastAsia" w:ascii="仿宋" w:hAnsi="仿宋" w:eastAsia="仿宋" w:cs="仿宋"/>
          <w:bCs/>
          <w:color w:val="333333"/>
          <w:kern w:val="0"/>
          <w:sz w:val="32"/>
          <w:szCs w:val="32"/>
        </w:rPr>
      </w:pPr>
    </w:p>
    <w:p>
      <w:pPr>
        <w:widowControl/>
        <w:shd w:val="clear"/>
        <w:ind w:firstLine="640" w:firstLineChars="200"/>
        <w:rPr>
          <w:rFonts w:hint="eastAsia" w:ascii="仿宋" w:hAnsi="仿宋" w:eastAsia="仿宋" w:cs="仿宋"/>
          <w:bCs/>
          <w:color w:val="333333"/>
          <w:kern w:val="0"/>
          <w:sz w:val="32"/>
          <w:szCs w:val="32"/>
        </w:rPr>
      </w:pPr>
    </w:p>
    <w:p>
      <w:pPr>
        <w:shd w:val="clear"/>
        <w:rPr>
          <w:rFonts w:hint="eastAsia" w:ascii="仿宋" w:hAnsi="仿宋" w:eastAsia="仿宋" w:cs="仿宋"/>
          <w:b/>
          <w:bCs/>
          <w:color w:val="333333"/>
          <w:kern w:val="0"/>
          <w:sz w:val="32"/>
          <w:szCs w:val="32"/>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 w:lineRule="atLeast"/>
        <w:ind w:left="0" w:right="0" w:firstLine="0"/>
        <w:jc w:val="both"/>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kern w:val="0"/>
          <w:sz w:val="32"/>
          <w:szCs w:val="32"/>
          <w:bdr w:val="none" w:color="auto" w:sz="0" w:space="0"/>
          <w:shd w:val="clear" w:fill="FFFFFF"/>
          <w:lang w:val="en-US" w:eastAsia="zh-CN" w:bidi="ar"/>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楷体" w:hAnsi="楷体" w:eastAsia="楷体" w:cs="楷体"/>
          <w:i w:val="0"/>
          <w:caps w:val="0"/>
          <w:color w:val="333333"/>
          <w:spacing w:val="0"/>
          <w:kern w:val="0"/>
          <w:sz w:val="32"/>
          <w:szCs w:val="32"/>
          <w:bdr w:val="none" w:color="auto" w:sz="0" w:space="0"/>
          <w:shd w:val="clear" w:fill="FFFFFF"/>
          <w:lang w:val="en-US" w:eastAsia="zh-CN" w:bidi="ar"/>
        </w:rPr>
        <w:t>　（一）工作中存在的主要问题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1、公开政府信息的主动性不够强。个别科室和人员对医保公开的重要性和必要性认识不足，存在松懈思想，主动公开意识较为薄弱。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2、信息公开的时效还需进一步提高，公开形式有待进一步丰富，公开的内容尚需进一步扩宽，便民性需要进一步提高。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r>
        <w:rPr>
          <w:rFonts w:hint="eastAsia" w:ascii="楷体" w:hAnsi="楷体" w:eastAsia="楷体" w:cs="楷体"/>
          <w:i w:val="0"/>
          <w:caps w:val="0"/>
          <w:color w:val="333333"/>
          <w:spacing w:val="0"/>
          <w:kern w:val="0"/>
          <w:sz w:val="32"/>
          <w:szCs w:val="32"/>
          <w:bdr w:val="none" w:color="auto" w:sz="0" w:space="0"/>
          <w:shd w:val="clear" w:fill="FFFFFF"/>
          <w:lang w:val="en-US" w:eastAsia="zh-CN" w:bidi="ar"/>
        </w:rPr>
        <w:t>（二）相关改进措施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2020年，我局将继续按照区政府关于信息公开工作的各项要求，针对存在问题，进一步加强政府信息公开工作，从便民利民出发，进一步加大政府信息梳理和整合力度，深化政府信息公开内容，力争在规范化、制度化、程序化等方面取得新进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一是要加强宣传和培训力度。组织全体干部进一步学习信息公开的相关制度，使广大干部充分认识贯彻实施医保公开的重大意义，将信息公开工作落实到每一个岗位，确保工作经常化、制度化。信息工作人员要熟悉内容、程序，积极参加业务培训，不断提高信息工作人员开展信息公开工作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二是要深化信息公开内容。着力提升医疗保障信息宣传的广度、深度和质量，按照“全面、及时、准确、规范”的要求，对信息报送严格把关，不断提高医疗保障信息质量，努力扩大影响力。</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 w:lineRule="atLeast"/>
        <w:ind w:left="540" w:leftChars="0" w:right="0" w:firstLine="0" w:firstLineChars="0"/>
        <w:jc w:val="both"/>
        <w:rPr>
          <w:rFonts w:hint="eastAsia" w:ascii="黑体" w:hAnsi="黑体" w:eastAsia="黑体" w:cs="黑体"/>
          <w:i w:val="0"/>
          <w:caps w:val="0"/>
          <w:color w:val="333333"/>
          <w:spacing w:val="0"/>
          <w:kern w:val="0"/>
          <w:sz w:val="32"/>
          <w:szCs w:val="32"/>
          <w:bdr w:val="none" w:color="auto" w:sz="0" w:space="0"/>
          <w:shd w:val="clear" w:fill="FFFFFF"/>
          <w:lang w:val="en-US" w:eastAsia="zh-CN" w:bidi="ar"/>
        </w:rPr>
      </w:pPr>
      <w:r>
        <w:rPr>
          <w:rFonts w:hint="eastAsia" w:ascii="黑体" w:hAnsi="黑体" w:eastAsia="黑体" w:cs="黑体"/>
          <w:i w:val="0"/>
          <w:caps w:val="0"/>
          <w:color w:val="333333"/>
          <w:spacing w:val="0"/>
          <w:kern w:val="0"/>
          <w:sz w:val="32"/>
          <w:szCs w:val="32"/>
          <w:bdr w:val="none" w:color="auto" w:sz="0" w:space="0"/>
          <w:shd w:val="clear" w:fill="FFFFFF"/>
          <w:lang w:val="en-US" w:eastAsia="zh-CN" w:bidi="ar"/>
        </w:rPr>
        <w:t>其他需要报告的事项</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 w:lineRule="atLeast"/>
        <w:ind w:left="540" w:leftChars="0" w:right="0" w:rightChars="0"/>
        <w:jc w:val="both"/>
        <w:rPr>
          <w:rFonts w:hint="eastAsia" w:ascii="仿宋" w:hAnsi="仿宋" w:eastAsia="仿宋" w:cs="仿宋"/>
          <w:i w:val="0"/>
          <w:caps w:val="0"/>
          <w:color w:val="333333"/>
          <w:spacing w:val="0"/>
          <w:kern w:val="0"/>
          <w:sz w:val="32"/>
          <w:szCs w:val="32"/>
          <w:bdr w:val="none" w:color="auto" w:sz="0" w:space="0"/>
          <w:shd w:val="clear" w:fill="FFFFFF"/>
          <w:lang w:val="en-US" w:eastAsia="zh-CN" w:bidi="ar"/>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本报告中所列数据的统计期限自2019年4月1</w:t>
      </w:r>
      <w:bookmarkStart w:id="0" w:name="_GoBack"/>
      <w:bookmarkEnd w:id="0"/>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日起至2019年12月31日止。如对本报告有任何疑问，请与龙子湖区医疗保障局办公室联系。 联系电话：0552-3073753。</w:t>
      </w:r>
    </w:p>
    <w:p>
      <w:pPr>
        <w:widowControl/>
        <w:shd w:val="clear"/>
        <w:ind w:firstLine="600" w:firstLineChars="200"/>
        <w:jc w:val="left"/>
        <w:rPr>
          <w:rFonts w:ascii="楷体" w:hAnsi="楷体" w:eastAsia="楷体" w:cs="楷体"/>
          <w:color w:val="000000"/>
          <w:sz w:val="30"/>
          <w:szCs w:val="30"/>
          <w:shd w:val="clear" w:color="auto" w:fill="FFFFFF"/>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A789BA"/>
    <w:multiLevelType w:val="singleLevel"/>
    <w:tmpl w:val="94A789BA"/>
    <w:lvl w:ilvl="0" w:tentative="0">
      <w:start w:val="6"/>
      <w:numFmt w:val="chineseCounting"/>
      <w:suff w:val="nothing"/>
      <w:lvlText w:val="%1、"/>
      <w:lvlJc w:val="left"/>
      <w:pPr>
        <w:ind w:left="5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5C"/>
    <w:rsid w:val="00093FA1"/>
    <w:rsid w:val="000F3C33"/>
    <w:rsid w:val="00187E3A"/>
    <w:rsid w:val="002B646A"/>
    <w:rsid w:val="00630D36"/>
    <w:rsid w:val="00652417"/>
    <w:rsid w:val="00667BAB"/>
    <w:rsid w:val="007976CE"/>
    <w:rsid w:val="009B7050"/>
    <w:rsid w:val="009D3C56"/>
    <w:rsid w:val="00A87812"/>
    <w:rsid w:val="00C6235C"/>
    <w:rsid w:val="00DA7628"/>
    <w:rsid w:val="00FA49BC"/>
    <w:rsid w:val="02556E50"/>
    <w:rsid w:val="03AD19B5"/>
    <w:rsid w:val="06FF45E2"/>
    <w:rsid w:val="09602EF5"/>
    <w:rsid w:val="0AB54DC7"/>
    <w:rsid w:val="0B103D65"/>
    <w:rsid w:val="13A33C88"/>
    <w:rsid w:val="155B54AF"/>
    <w:rsid w:val="18270D1A"/>
    <w:rsid w:val="1A4D2D2E"/>
    <w:rsid w:val="1C4056CB"/>
    <w:rsid w:val="1CB1183E"/>
    <w:rsid w:val="1E72373B"/>
    <w:rsid w:val="1FB707EE"/>
    <w:rsid w:val="22E86A33"/>
    <w:rsid w:val="24B24EC7"/>
    <w:rsid w:val="2A4E3791"/>
    <w:rsid w:val="2A6B1293"/>
    <w:rsid w:val="2EEB68BF"/>
    <w:rsid w:val="35B214C3"/>
    <w:rsid w:val="43A0666A"/>
    <w:rsid w:val="45A6142C"/>
    <w:rsid w:val="49BB601B"/>
    <w:rsid w:val="49FD1C78"/>
    <w:rsid w:val="4DA1098F"/>
    <w:rsid w:val="4E4D4576"/>
    <w:rsid w:val="501A2875"/>
    <w:rsid w:val="51161AA1"/>
    <w:rsid w:val="53C16C81"/>
    <w:rsid w:val="53F44052"/>
    <w:rsid w:val="5F1645A2"/>
    <w:rsid w:val="5F36032D"/>
    <w:rsid w:val="65A20871"/>
    <w:rsid w:val="65D50D1E"/>
    <w:rsid w:val="674137EB"/>
    <w:rsid w:val="682C7F76"/>
    <w:rsid w:val="6BC639EC"/>
    <w:rsid w:val="733C446B"/>
    <w:rsid w:val="747E1B4F"/>
    <w:rsid w:val="77261435"/>
    <w:rsid w:val="7AB46665"/>
    <w:rsid w:val="7C3B5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FollowedHyperlink"/>
    <w:basedOn w:val="5"/>
    <w:semiHidden/>
    <w:unhideWhenUsed/>
    <w:uiPriority w:val="99"/>
    <w:rPr>
      <w:color w:val="000099"/>
      <w:sz w:val="18"/>
      <w:szCs w:val="18"/>
      <w:u w:val="none"/>
    </w:rPr>
  </w:style>
  <w:style w:type="character" w:styleId="8">
    <w:name w:val="Hyperlink"/>
    <w:basedOn w:val="5"/>
    <w:semiHidden/>
    <w:unhideWhenUsed/>
    <w:uiPriority w:val="99"/>
    <w:rPr>
      <w:color w:val="00007F"/>
      <w:sz w:val="18"/>
      <w:szCs w:val="18"/>
      <w:u w:val="none"/>
    </w:rPr>
  </w:style>
  <w:style w:type="character" w:customStyle="1" w:styleId="9">
    <w:name w:val="标题 2 Char"/>
    <w:basedOn w:val="5"/>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585</Words>
  <Characters>3339</Characters>
  <Lines>27</Lines>
  <Paragraphs>7</Paragraphs>
  <TotalTime>13</TotalTime>
  <ScaleCrop>false</ScaleCrop>
  <LinksUpToDate>false</LinksUpToDate>
  <CharactersWithSpaces>3917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2020-01-08T08:29:00Z</dcterms:created>
  <dc:creator>Administrator</dc:creator>
  <cp:lastModifiedBy>十.六</cp:lastModifiedBy>
  <cp:lastPrinted>2020-01-19T02:33:53Z</cp:lastPrinted>
  <dcterms:modified xsi:type="dcterms:W3CDTF">2020-01-19T04:10:14Z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