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6A" w:rsidRPr="00CA256A" w:rsidRDefault="00CA256A" w:rsidP="00CA256A">
      <w:pPr>
        <w:numPr>
          <w:ilvl w:val="0"/>
          <w:numId w:val="1"/>
        </w:numPr>
        <w:ind w:firstLineChars="200" w:firstLine="883"/>
        <w:jc w:val="center"/>
        <w:rPr>
          <w:rFonts w:ascii="方正小标宋简体" w:eastAsia="方正小标宋简体" w:hAnsi="方正小标宋简体" w:cs="方正小标宋简体" w:hint="eastAsia"/>
          <w:kern w:val="21"/>
          <w:sz w:val="44"/>
          <w:szCs w:val="44"/>
          <w:lang w:bidi="ar"/>
        </w:rPr>
      </w:pPr>
      <w:r w:rsidRPr="00CA256A">
        <w:rPr>
          <w:rFonts w:ascii="方正小标宋简体" w:eastAsia="方正小标宋简体" w:hAnsi="方正小标宋简体" w:cs="方正小标宋简体" w:hint="eastAsia"/>
          <w:kern w:val="21"/>
          <w:sz w:val="44"/>
          <w:szCs w:val="44"/>
          <w:lang w:bidi="ar"/>
        </w:rPr>
        <w:t>采购需求清单</w:t>
      </w:r>
      <w:bookmarkStart w:id="0" w:name="_GoBack"/>
      <w:bookmarkEnd w:id="0"/>
    </w:p>
    <w:p w:rsidR="00CA256A" w:rsidRPr="00CA256A" w:rsidRDefault="00CA256A" w:rsidP="00CA256A">
      <w:pPr>
        <w:widowControl/>
        <w:shd w:val="clear" w:color="auto" w:fill="FFFFFF"/>
        <w:spacing w:line="495" w:lineRule="atLeast"/>
        <w:jc w:val="left"/>
        <w:rPr>
          <w:rFonts w:ascii="宋体" w:hAnsi="宋体" w:cs="宋体" w:hint="eastAsia"/>
          <w:b w:val="0"/>
          <w:kern w:val="0"/>
          <w:sz w:val="28"/>
          <w:szCs w:val="28"/>
          <w:shd w:val="clear" w:color="auto" w:fill="FFFFFF"/>
        </w:rPr>
      </w:pPr>
      <w:r w:rsidRPr="00CA256A">
        <w:rPr>
          <w:rFonts w:ascii="宋体" w:hAnsi="宋体" w:cs="宋体" w:hint="eastAsia"/>
          <w:b w:val="0"/>
          <w:kern w:val="0"/>
          <w:sz w:val="28"/>
          <w:szCs w:val="28"/>
          <w:shd w:val="clear" w:color="auto" w:fill="FFFFFF"/>
        </w:rPr>
        <w:t>采购货物清单、技术参数如下：</w:t>
      </w:r>
    </w:p>
    <w:tbl>
      <w:tblPr>
        <w:tblW w:w="5196" w:type="pct"/>
        <w:jc w:val="center"/>
        <w:tblLayout w:type="fixed"/>
        <w:tblLook w:val="0000" w:firstRow="0" w:lastRow="0" w:firstColumn="0" w:lastColumn="0" w:noHBand="0" w:noVBand="0"/>
      </w:tblPr>
      <w:tblGrid>
        <w:gridCol w:w="470"/>
        <w:gridCol w:w="911"/>
        <w:gridCol w:w="6637"/>
        <w:gridCol w:w="409"/>
        <w:gridCol w:w="429"/>
      </w:tblGrid>
      <w:tr w:rsidR="00CA256A" w:rsidRPr="00CA256A" w:rsidTr="007C3469">
        <w:trPr>
          <w:trHeight w:val="893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序号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产品名称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详细参数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数量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单位</w:t>
            </w:r>
          </w:p>
        </w:tc>
      </w:tr>
      <w:tr w:rsidR="00CA256A" w:rsidRPr="00CA256A" w:rsidTr="007C3469">
        <w:trPr>
          <w:trHeight w:val="2673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国产化商密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SSL VPN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1.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★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标准2U机架式设备，采用国产操作系统、国产自主研发处理器，内存大小≥16G，配置固态硬盘，冗余电源，接口≥4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千兆电口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、4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千兆光口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SFP、2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万兆光口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SFP+，为确保网口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稳定性需板载网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口非后期扩展，提供3年质保。（提供第三方检测机构出具的检测报告）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2.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★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提供100个并发接入授权，不限制用户数量，现有VPN客户端无需更换和重新部署，可静默升级、业务零中断。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需被现有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省级VPN集中管理平台统一纳管，（提供产品功能截图）。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3.通过隧道模式，可以支持基于TCP、UDP、ICMP等协议代理访问业务资源，支持发布IP、IP范围、IP段、具体域名及通配符域名等形式的服务器地址，满足常见办公业务的代理，收缩业务暴露面。为简化资源发布配置，隧道模式应支持同一个资源发布多个服务器地址；管理员还可基于业务的特殊性，自主选择优先使用长连接或短连接进行业务代理。（提供产品功能截图。）</w:t>
            </w:r>
          </w:p>
          <w:p w:rsidR="00CA256A" w:rsidRPr="00CA256A" w:rsidRDefault="00CA256A" w:rsidP="00CA256A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textAlignment w:val="center"/>
              <w:rPr>
                <w:rFonts w:asciiTheme="minorEastAsia" w:eastAsiaTheme="minorEastAsia" w:hAnsiTheme="minorEastAsia" w:cs="仿宋" w:hint="eastAsia"/>
                <w:b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通过WEB模式，可以支持基于http或https协议代理访问业务资源，支持发布IP或域名形式的后端服务器地址，可配置业务应用的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具体访问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URL路径。为了保持用户访问应用体验的一致性，后端服务器地址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需支持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多地址配置；为适应较复杂的内外网访问场景，WEB应用的前端访问地址应支持多地址访问。存在前置代理设备的场景，还应支持从XFF字段获取源IP。（提供产品功能截图。）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5.为强化系统认证安全性，可配置在触发异常环境的条件时，用户需完成增强认证才可登录。可配置的异常环境包括但不限于：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帐号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首次登录、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帐号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在该终端首次登录、账号在该地点首次登录、账号在新地点登录、账号在非常用地点登录、闲置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帐号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登录、弱密码登录、异常时间登录等。（提供产品功能截图。）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6.支持管理员自行配置单位的弱密码库，可配置不少于10W行的弱密码。（提供产品功能截图。）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7.为方便维护人员管理应用权限，支持直接在应用授权界面为单一应用或某个应用分类分配用户授权，授权方式支持直接授权给用户所在的组织架构、用户关联的角色或用户本身，并展示应用直接授权的组织架构、授权角色或用户数量。（提供产品功能截图。）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8.支持终端用户在客户端上自行查看所关联工作空间的权限，包括但不限于剪切板拷贝权限、文件导入导出权限、打印权限、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lastRenderedPageBreak/>
              <w:t>截屏权限、水印等。（提供产品功能截图。）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9.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★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为了保障系统的稳定性，集群节点故障后剩余节点仍能接管所有业务，分布式集群及本地集群均需支持授权漂移机制：集群中的单节点故障后，集群的总授权数跟故障前保持一致。（需提供产品功能截图及第三方检测机构出具的带CNAS标识的检测报告证明）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10.①、支持以虚拟IP方式，访问真实的业务系统，以配合其他对IP有要求的安全设备工作，以及便于流量分析类设备进行流量分析。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②、支持共享虚拟IP池模式，为用户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组分配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一个IP地址段，用户组内的用户首次连接时分配一个IP端内的虚拟IP，可根据IP资源的充裕情况配置用户注销后立即释放虚拟IP或注销后指定时间再释放，若未释放时则代表用户与虚拟IP绑定，便于用户访问行为可追溯。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③、支持独享虚拟IP模式，可配置一个独享IP池，在独享IP池中为用户分配指定的虚拟IP地址，在独享资源池中给用户绑定的虚拟IP不会释放。为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方便运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维管理，应支持批量导入的方式为用户绑定虚拟IP，并支持导出查看系统配置的虚拟IP对应关系。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④、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★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支持当虚拟IP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池分配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超过一定比例时，零信任系统可向管理员发送邮件告警，此比例可由管理员自主配置。（需提供产品功能截图及第三方权威检测机构出具的带CNAS标识的检测报告证明）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11.提供国家密码管理局商用密码检测中心出具的《商用密码产品认证证书》，提供有效证书复印件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lastRenderedPageBreak/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台</w:t>
            </w:r>
          </w:p>
        </w:tc>
      </w:tr>
      <w:tr w:rsidR="00CA256A" w:rsidRPr="00CA256A" w:rsidTr="007C3469">
        <w:trPr>
          <w:trHeight w:val="72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lastRenderedPageBreak/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</w:pP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国产化商密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IPSEC安全网关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1.与SSL VPN同一品牌。硬件底层采用国产化操作系统，搭载国产自主研发处理器，配置固态硬盘，接口≥6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千兆电口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、4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千兆光口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SFP，为确保网口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稳定性需板载网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口非后期扩展，整机吞吐不低于20Gbps，IPSEC VPN加密性能不低于500Mbps，提供3年质保（提供第三方检测机构出具的检测报告）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2.支持双机部署，产品无缝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对接省疾控现有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IPSEC VPN系统，满足国产化要求以及符合国家商用密码标准，具备防火墙功能，开通ACL控制、应用识别与流控、入侵防御、僵尸网络检测功能及规则库更新。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需被现有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省级VPN集中管理平台统一纳管。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（提供产品功能截图。）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；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3.产品支持Cookie攻击防护功能，并通过日志记录Cookie被篡改。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（提供产品功能截图。）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4.支持展示终端资产列表，可查看终端指纹信息和状态，如IP、MAC、类型、系统、厂商、终端名称、在线状态、审核状态等，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（提供产品功能截图。）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5.产品支持多维度流量控制功能，支持基于IP地址、用户、应用、时间设置流量控制策略，保证关键业务带宽日常需求，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（提供产品功能截图。）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6.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★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当主机故障时，双机切换时不丢包，并可实现双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机部署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下升级不断网，提供产品功能截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图证明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并提供具备CMA/CNAS标识的第三方检测报告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7.要求所投产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品具备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IPv6 Ready Phase-2认证，需提供证书复印件。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8.产品支持策略生命周期管理功能，支持对安全策略修改的时间、原因、变更类型进行统一管理，便于策略的运维与管理。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szCs w:val="24"/>
              </w:rPr>
              <w:t>（提供产品功能截图。）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9.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★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提供国家密码管理局商用密码检测中心出具的《商用密码产品认证证书》，提供有效证书复印件。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10.产品支持A|A、A|S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两种双机模式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部署。提供产品功能截图证明</w:t>
            </w:r>
          </w:p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11.产品支持安全策略有效性分析功能，分析内容至少包括策略冗余分析、策略匹配分析、风险端口风险等内容，提供安全策略优化建议。提供产品功能截图证明。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台</w:t>
            </w:r>
          </w:p>
        </w:tc>
      </w:tr>
      <w:tr w:rsidR="00CA256A" w:rsidRPr="00CA256A" w:rsidTr="007C3469">
        <w:trPr>
          <w:trHeight w:val="383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3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分体式高清视频会议终端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1、采用分体式结构，嵌入式操作系统，非PC架构、非工控机架构。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2、★采用国产自主操作系统和国产自主编解码芯片；会议终端主要元器件为国产自主，至少包括视音频编解码单元、CPU处理单元、可编程逻辑芯片、电源模块、时钟芯片、视频输入输出芯片等；（需提供具备CNAS或者CMA标识的第三方权威机构检测报告证明。）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3、支持64Kbps-8Mbps呼叫带宽。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4、支持ITU-T H.323、IETF SIP 协议，具有良好的兼容性和开放性。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5、支持H.265、H.264 HP、H.264 BP等图像编码协议。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6、支持4K30fps、1080P60fps、1080P30fps、720P60fps、720P30fps 等分辨率，支持向下兼容。本次项目配置1080P30fps对称编解码能力。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7、支持G.711A、G.711U、G.722、G.722.1C、G.729A、AAC-LD、Opus等音频协议，支持双声道立体声功能。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8、支持数字阵列麦克风接入，麦克风拾音距离≥6米。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9、★支持TR069，实现平台对终端自动配置下发、软件升级、状态监测、故障诊断等功能；（需提供具备CNAS或者CMA标识的第三方权威机构检测报告证明。）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10、支持H.239和BFCP双流协议。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11、★支持主流达到4K30fps情况下，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辅流同时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达到4K30fps；（需提供具备CNAS或者CMA标识的第三方权威机构检测报告证明。）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12、支持≥3路高清视频输入接口、≥2路高清视频输出接口；支持≥5路音频输入接口、≥5路音频输出接口，至少具备卡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侬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头、RCA 等音频接口。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13、支持高清视频信号远距离传输，通过以太网线无须增加额外设备，传输距离不少于100米，方便大型会议室摄像机远距离布置。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14、支持摄像头一线连接终端，实现同时传输视频信号、控制信号和摄像头供电。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15、支持不少于2个10M/100M/1000M自适应网口。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16、支持30%网络丢包时，语音清晰连续，视频清晰流畅，无卡顿。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17、★支持1Mbps会议带宽下，实现4K30帧图像格式编解码；支持512Kbps会议带宽下，实现1080P60帧图像格式编解码；384Kbps会议带宽下，实现1080P30帧图像格式编解码；256Kbps会议带宽下，实现720P30帧图像格式编解码；（需提供具备CNAS或者CMA标识的第三方权威机构检测报告证明。）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18、支持IPv4和IPv6双协议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栈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19、★支持在H.323协议下，H.235信令加密；支持在SIP下，TLS、SRTP加密；支持AES媒体流加密算法，保证会议安全；（需提供具备CNAS或者CMA标识的第三方权威机构检测报告证明。）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套</w:t>
            </w:r>
          </w:p>
        </w:tc>
      </w:tr>
      <w:tr w:rsidR="00CA256A" w:rsidRPr="00CA256A" w:rsidTr="007C3469">
        <w:trPr>
          <w:trHeight w:val="493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会议摄像机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256A" w:rsidRPr="00CA256A" w:rsidRDefault="00CA256A" w:rsidP="007C3469">
            <w:pPr>
              <w:widowControl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1、支持图像倒转功能，方便摄像机安装在天花板上。</w:t>
            </w:r>
          </w:p>
          <w:p w:rsidR="00CA256A" w:rsidRPr="00CA256A" w:rsidRDefault="00CA256A" w:rsidP="007C3469">
            <w:pPr>
              <w:widowControl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2、支持≥800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万像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素1/2.5英寸CMOS成像芯片，支持1080p、720p等视频输出格式，支持向下兼容。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3、支持≥12倍光学变焦，支持水平视角≥80°，水平转动范围：≥+/-110°，垂直转动范围：≥+/-30°。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4、支持≥254个预置位，支持≥2路高清视频输出接口，支持≥2个RS-232控制接口，支持标准VISCA控制协议。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5、支持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红外透传功能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，实现终端遥控器通过摄像机控制机房内会议终端，方便调试。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6、支持本地USB接口软件升级功能。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个</w:t>
            </w:r>
            <w:proofErr w:type="gramEnd"/>
          </w:p>
        </w:tc>
      </w:tr>
      <w:tr w:rsidR="00CA256A" w:rsidRPr="00CA256A" w:rsidTr="007C3469">
        <w:trPr>
          <w:trHeight w:val="807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5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100寸</w:t>
            </w:r>
            <w:proofErr w:type="gram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商显屏</w:t>
            </w:r>
            <w:proofErr w:type="gram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（含落地支架）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256A" w:rsidRPr="00CA256A" w:rsidRDefault="00CA256A" w:rsidP="007C3469">
            <w:pPr>
              <w:widowControl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1、外壳:防爆钢化玻璃设计，颜色：黑色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2、壁挂厚度：≤538mm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3、整机耗率：≤500W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4、电压：AC220V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5、处理器：Quad-CoreA551.9GHz+Mali-G31MP2800MHz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6、系统：Android9.0嵌入式系统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7、内存：≥2G，存储空间：≥16G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8、输入端口（IN）：AV视频端口≥2组，HDMI端口≥3组，RF电视端口≥1组，USB2.0端口≥2组"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9、网络+输出端口：RJ45/LAN网线端口≥1组，</w:t>
            </w:r>
            <w:proofErr w:type="spellStart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WiFi</w:t>
            </w:r>
            <w:proofErr w:type="spellEnd"/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 xml:space="preserve"> 2.4G，Earphone耳机≥1组，COAX同轴端口≥1组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10、显示屏尺寸：100英寸（16：9）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11、背光类型：DLED液晶显示屏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12、亮度中心点：300cd/m2(±20)</w:t>
            </w: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br/>
              <w:t>13、显示屏防护：4mm钢化防爆玻璃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台</w:t>
            </w:r>
          </w:p>
        </w:tc>
      </w:tr>
      <w:tr w:rsidR="00CA256A" w:rsidRPr="00CA256A" w:rsidTr="007C3469">
        <w:trPr>
          <w:trHeight w:val="807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集成实施及运维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256A" w:rsidRPr="00CA256A" w:rsidRDefault="00CA256A" w:rsidP="007C3469">
            <w:pPr>
              <w:widowControl/>
              <w:spacing w:line="360" w:lineRule="auto"/>
              <w:jc w:val="left"/>
              <w:textAlignment w:val="bottom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  <w:lang w:bidi="ar"/>
              </w:rPr>
              <w:t>提供设备的安装调试，系统集成、操作培训及日常运维工作，保障平台系统正常使用。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256A" w:rsidRPr="00CA256A" w:rsidRDefault="00CA256A" w:rsidP="007C3469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</w:pPr>
            <w:r w:rsidRPr="00CA256A">
              <w:rPr>
                <w:rFonts w:asciiTheme="minorEastAsia" w:eastAsiaTheme="minorEastAsia" w:hAnsiTheme="minorEastAsia" w:cs="仿宋" w:hint="eastAsia"/>
                <w:b w:val="0"/>
                <w:kern w:val="0"/>
                <w:szCs w:val="24"/>
              </w:rPr>
              <w:t>年</w:t>
            </w:r>
          </w:p>
        </w:tc>
      </w:tr>
    </w:tbl>
    <w:p w:rsidR="00CA256A" w:rsidRPr="00CA256A" w:rsidRDefault="00CA256A" w:rsidP="00CA256A">
      <w:pPr>
        <w:widowControl/>
        <w:shd w:val="clear" w:color="auto" w:fill="FFFFFF"/>
        <w:spacing w:line="495" w:lineRule="atLeast"/>
        <w:jc w:val="left"/>
        <w:rPr>
          <w:rStyle w:val="font01"/>
          <w:rFonts w:ascii="宋体" w:eastAsia="宋体" w:hAnsi="宋体" w:cs="宋体" w:hint="default"/>
          <w:b w:val="0"/>
          <w:bCs/>
          <w:color w:val="auto"/>
          <w:kern w:val="0"/>
          <w:szCs w:val="24"/>
          <w:shd w:val="clear" w:color="auto" w:fill="FFFFFF"/>
        </w:rPr>
      </w:pPr>
      <w:r w:rsidRPr="00CA256A">
        <w:rPr>
          <w:rStyle w:val="font61"/>
          <w:rFonts w:asciiTheme="minorEastAsia" w:eastAsiaTheme="minorEastAsia" w:hAnsiTheme="minorEastAsia" w:hint="default"/>
          <w:b w:val="0"/>
          <w:bCs w:val="0"/>
          <w:color w:val="auto"/>
          <w:sz w:val="24"/>
          <w:szCs w:val="24"/>
          <w:lang w:bidi="ar"/>
        </w:rPr>
        <w:t>备注：</w:t>
      </w:r>
      <w:r w:rsidRPr="00CA256A">
        <w:rPr>
          <w:rStyle w:val="font01"/>
          <w:rFonts w:asciiTheme="minorEastAsia" w:eastAsiaTheme="minorEastAsia" w:hAnsiTheme="minorEastAsia" w:hint="default"/>
          <w:b w:val="0"/>
          <w:bCs/>
          <w:color w:val="auto"/>
          <w:sz w:val="24"/>
          <w:szCs w:val="24"/>
          <w:lang w:bidi="ar"/>
        </w:rPr>
        <w:br/>
      </w:r>
      <w:r w:rsidRPr="00CA256A">
        <w:rPr>
          <w:rStyle w:val="font01"/>
          <w:rFonts w:asciiTheme="minorEastAsia" w:eastAsiaTheme="minorEastAsia" w:hAnsiTheme="minorEastAsia" w:hint="default"/>
          <w:b w:val="0"/>
          <w:bCs/>
          <w:color w:val="auto"/>
          <w:szCs w:val="24"/>
          <w:lang w:bidi="ar"/>
        </w:rPr>
        <w:t>1、</w:t>
      </w:r>
      <w:r w:rsidRPr="00CA256A">
        <w:rPr>
          <w:rFonts w:ascii="宋体" w:hAnsi="宋体" w:cs="宋体" w:hint="eastAsia"/>
          <w:b w:val="0"/>
          <w:bCs/>
          <w:kern w:val="0"/>
          <w:szCs w:val="24"/>
          <w:shd w:val="clear" w:color="auto" w:fill="FFFFFF"/>
        </w:rPr>
        <w:t>标有“★”的参数为关键性技术参数，必须无条件满足，如有一项不能满足，视为未实质性响应采购需求；</w:t>
      </w:r>
    </w:p>
    <w:p w:rsidR="000C4375" w:rsidRPr="00CA256A" w:rsidRDefault="00CA256A" w:rsidP="00CA256A">
      <w:r w:rsidRPr="00CA256A">
        <w:rPr>
          <w:rStyle w:val="font01"/>
          <w:rFonts w:asciiTheme="minorEastAsia" w:eastAsiaTheme="minorEastAsia" w:hAnsiTheme="minorEastAsia" w:hint="default"/>
          <w:b w:val="0"/>
          <w:bCs/>
          <w:color w:val="auto"/>
          <w:szCs w:val="24"/>
          <w:lang w:bidi="ar"/>
        </w:rPr>
        <w:t>2、</w:t>
      </w:r>
      <w:r w:rsidRPr="00CA256A">
        <w:rPr>
          <w:rStyle w:val="font01"/>
          <w:rFonts w:asciiTheme="minorEastAsia" w:eastAsiaTheme="minorEastAsia" w:hAnsiTheme="minorEastAsia" w:hint="default"/>
          <w:b w:val="0"/>
          <w:bCs/>
          <w:color w:val="auto"/>
          <w:sz w:val="24"/>
          <w:szCs w:val="24"/>
          <w:lang w:bidi="ar"/>
        </w:rPr>
        <w:t>为保障本项目的顺利实施和日常的使用，对售后及运维服务有以下要求：</w:t>
      </w:r>
      <w:r w:rsidRPr="00CA256A">
        <w:rPr>
          <w:rStyle w:val="font01"/>
          <w:rFonts w:asciiTheme="minorEastAsia" w:eastAsiaTheme="minorEastAsia" w:hAnsiTheme="minorEastAsia" w:hint="default"/>
          <w:b w:val="0"/>
          <w:bCs/>
          <w:color w:val="auto"/>
          <w:sz w:val="24"/>
          <w:szCs w:val="24"/>
          <w:lang w:bidi="ar"/>
        </w:rPr>
        <w:br/>
        <w:t>（1）所有软硬件系统设备提供3年质保、软件升级及原厂服务，12小时内上门服务、7*24小时远程服务。</w:t>
      </w:r>
      <w:r w:rsidRPr="00CA256A">
        <w:rPr>
          <w:rStyle w:val="font01"/>
          <w:rFonts w:asciiTheme="minorEastAsia" w:eastAsiaTheme="minorEastAsia" w:hAnsiTheme="minorEastAsia" w:hint="default"/>
          <w:b w:val="0"/>
          <w:bCs/>
          <w:color w:val="auto"/>
          <w:sz w:val="24"/>
          <w:szCs w:val="24"/>
          <w:lang w:bidi="ar"/>
        </w:rPr>
        <w:br/>
        <w:t>（2）本项目属于与国家级单位及省级单位对接项目，建设实施前需了解上级单位现有设备使用情况，设备所需对接接口由设备厂商提供，需提前做好测试联调工作。如若不能满足需求，视为虚假响应，采购人向上级主管部门汇报并解除合同，由此引发的一系列后果，均由</w:t>
      </w:r>
      <w:r w:rsidRPr="00CA256A">
        <w:rPr>
          <w:rStyle w:val="font01"/>
          <w:rFonts w:asciiTheme="minorEastAsia" w:eastAsiaTheme="minorEastAsia" w:hAnsiTheme="minorEastAsia" w:hint="default"/>
          <w:b w:val="0"/>
          <w:bCs/>
          <w:color w:val="auto"/>
          <w:szCs w:val="24"/>
          <w:lang w:bidi="ar"/>
        </w:rPr>
        <w:t>供应商</w:t>
      </w:r>
      <w:r w:rsidRPr="00CA256A">
        <w:rPr>
          <w:rStyle w:val="font01"/>
          <w:rFonts w:asciiTheme="minorEastAsia" w:eastAsiaTheme="minorEastAsia" w:hAnsiTheme="minorEastAsia" w:hint="default"/>
          <w:b w:val="0"/>
          <w:bCs/>
          <w:color w:val="auto"/>
          <w:sz w:val="24"/>
          <w:szCs w:val="24"/>
          <w:lang w:bidi="ar"/>
        </w:rPr>
        <w:t>承担。</w:t>
      </w:r>
      <w:r w:rsidRPr="00CA256A">
        <w:rPr>
          <w:rStyle w:val="font01"/>
          <w:rFonts w:asciiTheme="minorEastAsia" w:eastAsiaTheme="minorEastAsia" w:hAnsiTheme="minorEastAsia" w:hint="default"/>
          <w:b w:val="0"/>
          <w:bCs/>
          <w:color w:val="auto"/>
          <w:sz w:val="24"/>
          <w:szCs w:val="24"/>
          <w:lang w:bidi="ar"/>
        </w:rPr>
        <w:br/>
        <w:t>（3）为了保证采购的设备为原厂正品行货，中标人在中标后3个工作日内需提供所投设备制造厂商针对本项目的授权文件（原件盖章）和所投设备制造厂商针对本项目的质保函（原件盖章）及售后服务承诺函（原件盖章）；未提供均属于虚假响应，采购人将不与中标人签订合同并向上级主管部门汇报，由此引发的一系列后果，均由中标人承担；采购人可以按照评</w:t>
      </w:r>
      <w:r w:rsidRPr="00CA256A">
        <w:rPr>
          <w:rStyle w:val="font01"/>
          <w:rFonts w:asciiTheme="minorEastAsia" w:eastAsiaTheme="minorEastAsia" w:hAnsiTheme="minorEastAsia"/>
          <w:b w:val="0"/>
          <w:bCs/>
          <w:color w:val="auto"/>
          <w:szCs w:val="24"/>
          <w:lang w:bidi="ar"/>
        </w:rPr>
        <w:t>标</w:t>
      </w:r>
      <w:r w:rsidRPr="00CA256A">
        <w:rPr>
          <w:rStyle w:val="font01"/>
          <w:rFonts w:asciiTheme="minorEastAsia" w:eastAsiaTheme="minorEastAsia" w:hAnsiTheme="minorEastAsia" w:hint="default"/>
          <w:b w:val="0"/>
          <w:bCs/>
          <w:color w:val="auto"/>
          <w:sz w:val="24"/>
          <w:szCs w:val="24"/>
          <w:lang w:bidi="ar"/>
        </w:rPr>
        <w:t>报告推荐的</w:t>
      </w:r>
      <w:r w:rsidRPr="00CA256A">
        <w:rPr>
          <w:rStyle w:val="font01"/>
          <w:rFonts w:asciiTheme="minorEastAsia" w:eastAsiaTheme="minorEastAsia" w:hAnsiTheme="minorEastAsia" w:hint="default"/>
          <w:b w:val="0"/>
          <w:bCs/>
          <w:color w:val="auto"/>
          <w:szCs w:val="24"/>
          <w:lang w:bidi="ar"/>
        </w:rPr>
        <w:t>中标</w:t>
      </w:r>
      <w:r w:rsidRPr="00CA256A">
        <w:rPr>
          <w:rStyle w:val="font01"/>
          <w:rFonts w:asciiTheme="minorEastAsia" w:eastAsiaTheme="minorEastAsia" w:hAnsiTheme="minorEastAsia" w:hint="default"/>
          <w:b w:val="0"/>
          <w:bCs/>
          <w:color w:val="auto"/>
          <w:sz w:val="24"/>
          <w:szCs w:val="24"/>
          <w:lang w:bidi="ar"/>
        </w:rPr>
        <w:t>候选人名单排序，确定下一候选人为</w:t>
      </w:r>
      <w:r w:rsidRPr="00CA256A">
        <w:rPr>
          <w:rStyle w:val="font01"/>
          <w:rFonts w:asciiTheme="minorEastAsia" w:eastAsiaTheme="minorEastAsia" w:hAnsiTheme="minorEastAsia" w:hint="default"/>
          <w:b w:val="0"/>
          <w:bCs/>
          <w:color w:val="auto"/>
          <w:szCs w:val="24"/>
          <w:lang w:bidi="ar"/>
        </w:rPr>
        <w:t>中标</w:t>
      </w:r>
      <w:r w:rsidRPr="00CA256A">
        <w:rPr>
          <w:rStyle w:val="font01"/>
          <w:rFonts w:asciiTheme="minorEastAsia" w:eastAsiaTheme="minorEastAsia" w:hAnsiTheme="minorEastAsia" w:hint="default"/>
          <w:b w:val="0"/>
          <w:bCs/>
          <w:color w:val="auto"/>
          <w:sz w:val="24"/>
          <w:szCs w:val="24"/>
          <w:lang w:bidi="ar"/>
        </w:rPr>
        <w:t>供应商。</w:t>
      </w:r>
    </w:p>
    <w:sectPr w:rsidR="000C4375" w:rsidRPr="00C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7805"/>
    <w:multiLevelType w:val="singleLevel"/>
    <w:tmpl w:val="3D907805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4FDC2CA9"/>
    <w:multiLevelType w:val="singleLevel"/>
    <w:tmpl w:val="4FDC2CA9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6A"/>
    <w:rsid w:val="000C4375"/>
    <w:rsid w:val="00CA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6A"/>
    <w:pPr>
      <w:widowControl w:val="0"/>
      <w:jc w:val="both"/>
    </w:pPr>
    <w:rPr>
      <w:rFonts w:ascii="Times New Roman" w:eastAsia="宋体" w:hAnsi="Times New Roman" w:cs="Times New Roman"/>
      <w:b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qFormat/>
    <w:rsid w:val="00CA256A"/>
    <w:rPr>
      <w:rFonts w:ascii="仿宋" w:eastAsia="仿宋" w:hAnsi="仿宋" w:cs="仿宋" w:hint="eastAsia"/>
      <w:b/>
      <w:bCs/>
      <w:color w:val="000000"/>
      <w:sz w:val="20"/>
      <w:szCs w:val="20"/>
      <w:u w:val="none"/>
    </w:rPr>
  </w:style>
  <w:style w:type="character" w:customStyle="1" w:styleId="font01">
    <w:name w:val="font01"/>
    <w:qFormat/>
    <w:rsid w:val="00CA256A"/>
    <w:rPr>
      <w:rFonts w:ascii="仿宋" w:eastAsia="仿宋" w:hAnsi="仿宋" w:cs="仿宋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6A"/>
    <w:pPr>
      <w:widowControl w:val="0"/>
      <w:jc w:val="both"/>
    </w:pPr>
    <w:rPr>
      <w:rFonts w:ascii="Times New Roman" w:eastAsia="宋体" w:hAnsi="Times New Roman" w:cs="Times New Roman"/>
      <w:b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qFormat/>
    <w:rsid w:val="00CA256A"/>
    <w:rPr>
      <w:rFonts w:ascii="仿宋" w:eastAsia="仿宋" w:hAnsi="仿宋" w:cs="仿宋" w:hint="eastAsia"/>
      <w:b/>
      <w:bCs/>
      <w:color w:val="000000"/>
      <w:sz w:val="20"/>
      <w:szCs w:val="20"/>
      <w:u w:val="none"/>
    </w:rPr>
  </w:style>
  <w:style w:type="character" w:customStyle="1" w:styleId="font01">
    <w:name w:val="font01"/>
    <w:qFormat/>
    <w:rsid w:val="00CA256A"/>
    <w:rPr>
      <w:rFonts w:ascii="仿宋" w:eastAsia="仿宋" w:hAnsi="仿宋" w:cs="仿宋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3968</Characters>
  <Application>Microsoft Office Word</Application>
  <DocSecurity>0</DocSecurity>
  <Lines>33</Lines>
  <Paragraphs>9</Paragraphs>
  <ScaleCrop>false</ScaleCrop>
  <Company>HP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35863</dc:creator>
  <cp:lastModifiedBy>35863</cp:lastModifiedBy>
  <cp:revision>1</cp:revision>
  <dcterms:created xsi:type="dcterms:W3CDTF">2024-09-02T09:36:00Z</dcterms:created>
  <dcterms:modified xsi:type="dcterms:W3CDTF">2024-09-02T09:36:00Z</dcterms:modified>
</cp:coreProperties>
</file>