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63" w:rsidRDefault="00D12963" w:rsidP="00D12963">
      <w:pPr>
        <w:jc w:val="center"/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  <w:lang w:bidi="ar"/>
        </w:rPr>
      </w:pPr>
      <w:bookmarkStart w:id="0" w:name="_GoBack"/>
      <w:r w:rsidRPr="00D12963"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  <w:lang w:bidi="ar"/>
        </w:rPr>
        <w:t>龙子湖区政府大楼主机房设备升级改造项目</w:t>
      </w:r>
      <w:r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  <w:lang w:bidi="ar"/>
        </w:rPr>
        <w:t>采购需求清单</w:t>
      </w:r>
      <w:bookmarkEnd w:id="0"/>
    </w:p>
    <w:p w:rsidR="00D12963" w:rsidRPr="000D70FF" w:rsidRDefault="00D12963" w:rsidP="00D12963">
      <w:pPr>
        <w:spacing w:line="360" w:lineRule="auto"/>
        <w:rPr>
          <w:rFonts w:ascii="宋体" w:hAnsi="宋体" w:hint="eastAsia"/>
          <w:b w:val="0"/>
          <w:bCs/>
          <w:color w:val="FF0000"/>
          <w:szCs w:val="24"/>
        </w:rPr>
      </w:pPr>
      <w:r w:rsidRPr="000D70FF">
        <w:rPr>
          <w:rFonts w:ascii="宋体" w:hAnsi="宋体" w:hint="eastAsia"/>
          <w:b w:val="0"/>
          <w:bCs/>
          <w:color w:val="FF0000"/>
          <w:szCs w:val="24"/>
        </w:rPr>
        <w:t>一</w:t>
      </w:r>
      <w:r w:rsidRPr="000D70FF">
        <w:rPr>
          <w:rFonts w:ascii="宋体" w:hAnsi="宋体"/>
          <w:b w:val="0"/>
          <w:bCs/>
          <w:color w:val="FF0000"/>
          <w:szCs w:val="24"/>
        </w:rPr>
        <w:t>、</w:t>
      </w:r>
      <w:r w:rsidRPr="000D70FF">
        <w:rPr>
          <w:rFonts w:ascii="宋体" w:hAnsi="宋体" w:hint="eastAsia"/>
          <w:b w:val="0"/>
          <w:bCs/>
          <w:color w:val="FF0000"/>
          <w:szCs w:val="24"/>
        </w:rPr>
        <w:t>技术要求</w:t>
      </w:r>
    </w:p>
    <w:p w:rsidR="00D12963" w:rsidRPr="000D70FF" w:rsidRDefault="00D12963" w:rsidP="00D12963">
      <w:pPr>
        <w:spacing w:line="360" w:lineRule="auto"/>
        <w:rPr>
          <w:rFonts w:ascii="宋体" w:hAnsi="宋体" w:hint="eastAsia"/>
          <w:b w:val="0"/>
          <w:bCs/>
          <w:color w:val="FF0000"/>
          <w:szCs w:val="24"/>
        </w:rPr>
      </w:pPr>
      <w:bookmarkStart w:id="1" w:name="_Toc65772198"/>
      <w:r w:rsidRPr="000D70FF">
        <w:rPr>
          <w:rFonts w:ascii="宋体" w:hAnsi="宋体"/>
          <w:b w:val="0"/>
          <w:bCs/>
          <w:color w:val="FF0000"/>
          <w:szCs w:val="24"/>
        </w:rPr>
        <w:t>1.</w:t>
      </w:r>
      <w:r w:rsidRPr="000D70FF">
        <w:rPr>
          <w:rFonts w:ascii="宋体" w:hAnsi="宋体" w:hint="eastAsia"/>
          <w:b w:val="0"/>
          <w:bCs/>
          <w:color w:val="FF0000"/>
          <w:szCs w:val="24"/>
        </w:rPr>
        <w:t>★投标人投标时须提供承诺函，承诺保证能够实现与现有系统整合，无缝对接，相互兼容，满足用户的技术需求及正常使用，负责系统集成与联调，保证能够正常运行，本条为不允许偏离的实质性要求和条件。</w:t>
      </w:r>
    </w:p>
    <w:p w:rsidR="00D12963" w:rsidRPr="000D70FF" w:rsidRDefault="00D12963" w:rsidP="00D12963">
      <w:pPr>
        <w:spacing w:line="360" w:lineRule="auto"/>
        <w:rPr>
          <w:rFonts w:ascii="宋体" w:hAnsi="宋体" w:hint="eastAsia"/>
          <w:b w:val="0"/>
          <w:bCs/>
          <w:color w:val="FF0000"/>
          <w:szCs w:val="24"/>
        </w:rPr>
      </w:pPr>
      <w:r w:rsidRPr="000D70FF">
        <w:rPr>
          <w:rFonts w:ascii="宋体" w:hAnsi="宋体"/>
          <w:b w:val="0"/>
          <w:bCs/>
          <w:color w:val="FF0000"/>
          <w:szCs w:val="24"/>
        </w:rPr>
        <w:t>2.</w:t>
      </w:r>
      <w:r>
        <w:rPr>
          <w:rFonts w:ascii="宋体" w:hAnsi="宋体" w:hint="eastAsia"/>
          <w:b w:val="0"/>
          <w:bCs/>
          <w:color w:val="FF0000"/>
          <w:szCs w:val="24"/>
        </w:rPr>
        <w:t>★投标人投标时须提供零信任综合网关</w:t>
      </w:r>
      <w:r w:rsidRPr="000D70FF">
        <w:rPr>
          <w:rFonts w:ascii="宋体" w:hAnsi="宋体" w:hint="eastAsia"/>
          <w:b w:val="0"/>
          <w:bCs/>
          <w:color w:val="FF0000"/>
          <w:szCs w:val="24"/>
        </w:rPr>
        <w:t>产品来源渠道合法的证明文件（包括但不限于授权、销售协议等），本条为不允许偏离的实质性要求和条件。</w:t>
      </w:r>
    </w:p>
    <w:p w:rsidR="00D12963" w:rsidRPr="000D70FF" w:rsidRDefault="00D12963" w:rsidP="00D12963">
      <w:pPr>
        <w:spacing w:line="360" w:lineRule="auto"/>
        <w:rPr>
          <w:rFonts w:ascii="宋体" w:hAnsi="宋体" w:hint="eastAsia"/>
          <w:b w:val="0"/>
          <w:bCs/>
          <w:color w:val="FF0000"/>
          <w:szCs w:val="24"/>
        </w:rPr>
      </w:pPr>
      <w:r w:rsidRPr="000D70FF">
        <w:rPr>
          <w:rFonts w:ascii="宋体" w:hAnsi="宋体" w:hint="eastAsia"/>
          <w:b w:val="0"/>
          <w:bCs/>
          <w:color w:val="FF0000"/>
          <w:szCs w:val="24"/>
        </w:rPr>
        <w:t>二、采购货物清单、技术参数如下</w:t>
      </w:r>
      <w:bookmarkEnd w:id="1"/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898"/>
        <w:gridCol w:w="5810"/>
        <w:gridCol w:w="737"/>
        <w:gridCol w:w="817"/>
      </w:tblGrid>
      <w:tr w:rsidR="00D12963" w:rsidRPr="000D70FF" w:rsidTr="00F321FC">
        <w:trPr>
          <w:trHeight w:val="3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序号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采购项目、清单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技术参数（或技术要求）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单位</w:t>
            </w:r>
          </w:p>
        </w:tc>
      </w:tr>
      <w:tr w:rsidR="00D12963" w:rsidRPr="000D70FF" w:rsidTr="00F321FC">
        <w:trPr>
          <w:trHeight w:val="3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 xml:space="preserve">零信任综合网关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1.★标准1U机架设备，内存≥16G，硬盘容量≥128G SSD，最大理论加密流量（Mbps）≥300;最大理论并发用户数≥400;最大理论https并发连接数（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个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）≥15000;理论https新建连接数（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个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/秒）≥60，接口≥6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千兆电口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+2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千兆光口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（含光模块），本次提供300个零信任接入授权并提供3年产品质保及软件升级服务；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2.为了满足灵活部署的要求，综合网关应支持IPV4/IPV6双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栈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网络IP配置，可自主选择配置LAN口或WAN口。为了保护设备的安全，可支持默认限制所有IP通过WAN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口访问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系统，支持通过配置IP白名单的方式来放通WAN口接入的特殊需求；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3.通过WEB模式，可以支持基于http或https协议代理访问业务资源，支持发布IP或域名形式的后端服务器地址，可配置业务应用的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具体访问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URL路径。为了保持用户访问应用体验的一致性，后端服务器地址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需支持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多地址配置；为适应较复杂的内外网访问场景，WEB应用的前端访问地址应支持多地址访问。存在前置代理设备的</w:t>
            </w: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lastRenderedPageBreak/>
              <w:t>场景，还应支持从XFF字段获取源IP；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4.★支持以私有DNS发布企业资源，无需额外购买DNS服务即可使用域名访问内网资源，支持管理员自主配置是否允许从具体网络区域（局域网/互联网）接入时使用此私有DNS解析地址，须提供相应的功能证明材料（包括但不限于测试报告、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官网和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 xml:space="preserve">功能截图等）； 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5.为符合单位合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规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性要求，管理员可自主编辑用户访问未授权应用时的告警内容；支持配置是否允许用户自助申请应用访问权限，启用后，管理员可以在控制台根据审批状态查看应用申请详情，包括但不限于：申请时间、用户名、所属组织架构、角色、应用名称、应用访问地址、申请理由、申请有效期等。应用管理员可对待审批的应用进行批准或驳回操作，支持批量操作；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6.★为了保障用户在国产化终端上的正常业务访问，零信任客户端应兼容主流国产硬件CPU的国产操作系统终端，包括但不限于麒麟V10×龙芯、麒麟V10×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龙芯</w:t>
            </w:r>
            <w:proofErr w:type="spellStart"/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LoongArch</w:t>
            </w:r>
            <w:proofErr w:type="spell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、麒麟V10×飞腾、麒麟V10×鲲鹏、麒麟V10×兆芯、麒麟V10×海光、麒麟V10×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海思麒麟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；统信V20×龙芯（3A3000、3A4000）、统信V20×龙芯（3A5000）、统信V20×飞腾、统信V20×鲲鹏、统信V20×海光、统信V20×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兆芯等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，须提供相应的功能证明材料（包括但不限于测试报告、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官网和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 xml:space="preserve">功能截图等）； 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7.支持配置HTTPS短信网关、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腾讯云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短信网关、阿里云短信网关、Socket短信网关、企业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微信消息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网关、钉钉消息网关等多种短信网关；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8.★为强化系统认证安全性，可配置在触发异常环境的条件时，用户需完成增强认证才可登录。可配置的异常环境包括但不限于：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帐号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首次登录、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帐号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在该终端首次登录、账号在该地点首次登录、账号在新地点登录、账号在非常用地点登录、闲置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帐号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登录、弱密码登录、异常时间登录等，须提供相应的功能证明材料（包括但不限于测试报告、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官网和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 xml:space="preserve">功能截图等）； 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9.支持通过组织架构、角色等方式进行本地用户管理，新增或修改本地用户时，可编辑的用户属性应包括但不限于：用户名、显示名、组织信息、关联角色、手机号码、密码、电子邮箱、用户有效期、</w:t>
            </w: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帐号</w:t>
            </w:r>
            <w:proofErr w:type="gramEnd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是否启用、应用授权等；</w:t>
            </w:r>
          </w:p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10.客户端接入及控制台访问均应支持ECDHE、RSA、AES、SHA、SM2、SM3、SM4等加密算法，以及相应的 ECC_SM4_SM3、ECDHE_SM4_SM3、TLS_AES_256_GCM_SHA384、 TLS_ECDHE_RSA_WITH_AES_128_GCM_SHA256 、TLS_RSA_WITH_AES_256_GCM_SHA384等加密算法套件。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台</w:t>
            </w:r>
          </w:p>
        </w:tc>
      </w:tr>
      <w:tr w:rsidR="00D12963" w:rsidRPr="000D70FF" w:rsidTr="00F321FC">
        <w:trPr>
          <w:trHeight w:val="3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lastRenderedPageBreak/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proofErr w:type="gramStart"/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光板卡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48千兆，须兼容适配原华为S7706核心交换机。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块</w:t>
            </w:r>
          </w:p>
        </w:tc>
      </w:tr>
      <w:tr w:rsidR="00D12963" w:rsidRPr="000D70FF" w:rsidTr="00F321FC">
        <w:trPr>
          <w:trHeight w:val="3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电板卡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48千兆，须兼容适配原华为S7706核心交换机。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块</w:t>
            </w:r>
          </w:p>
        </w:tc>
      </w:tr>
      <w:tr w:rsidR="00D12963" w:rsidRPr="000D70FF" w:rsidTr="00F321FC">
        <w:trPr>
          <w:trHeight w:val="3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光模块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千兆单模，须兼容适配原华为S7706核心交换机。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块</w:t>
            </w:r>
          </w:p>
        </w:tc>
      </w:tr>
      <w:tr w:rsidR="00D12963" w:rsidRPr="000D70FF" w:rsidTr="00F321FC">
        <w:trPr>
          <w:trHeight w:val="38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系统集成服务费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含设备安装及调试，原华为核心交换机须按市数据局要求配置、调试，满足用户单位使用需求。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63" w:rsidRPr="000D70FF" w:rsidRDefault="00D12963" w:rsidP="00F321FC">
            <w:pPr>
              <w:spacing w:line="360" w:lineRule="auto"/>
              <w:rPr>
                <w:rFonts w:ascii="宋体" w:hAnsi="宋体"/>
                <w:b w:val="0"/>
                <w:bCs/>
                <w:color w:val="FF0000"/>
                <w:szCs w:val="24"/>
              </w:rPr>
            </w:pPr>
            <w:r w:rsidRPr="000D70FF">
              <w:rPr>
                <w:rFonts w:ascii="宋体" w:hAnsi="宋体"/>
                <w:b w:val="0"/>
                <w:bCs/>
                <w:color w:val="FF0000"/>
                <w:szCs w:val="24"/>
              </w:rPr>
              <w:t>项</w:t>
            </w:r>
          </w:p>
        </w:tc>
      </w:tr>
    </w:tbl>
    <w:p w:rsidR="00D12963" w:rsidRPr="000D70FF" w:rsidRDefault="00D12963" w:rsidP="00D12963">
      <w:pPr>
        <w:spacing w:line="360" w:lineRule="auto"/>
        <w:rPr>
          <w:rFonts w:ascii="宋体" w:hAnsi="宋体" w:hint="eastAsia"/>
          <w:b w:val="0"/>
          <w:bCs/>
          <w:color w:val="FF0000"/>
          <w:szCs w:val="24"/>
        </w:rPr>
      </w:pPr>
    </w:p>
    <w:p w:rsidR="00D12963" w:rsidRPr="000D70FF" w:rsidRDefault="00D12963" w:rsidP="00D12963">
      <w:pPr>
        <w:spacing w:line="360" w:lineRule="auto"/>
        <w:rPr>
          <w:rFonts w:ascii="宋体" w:hAnsi="宋体" w:hint="eastAsia"/>
          <w:b w:val="0"/>
          <w:bCs/>
          <w:color w:val="FF0000"/>
          <w:szCs w:val="24"/>
        </w:rPr>
      </w:pPr>
      <w:r w:rsidRPr="000D70FF">
        <w:rPr>
          <w:rFonts w:ascii="宋体" w:hAnsi="宋体" w:hint="eastAsia"/>
          <w:b w:val="0"/>
          <w:bCs/>
          <w:color w:val="FF0000"/>
          <w:szCs w:val="24"/>
        </w:rPr>
        <w:t>备注：1、标有“★”的参数为关键性技术参数，必须无条件满足，如有一项不能满足，视为未实质性响应采购需求；</w:t>
      </w:r>
    </w:p>
    <w:p w:rsidR="00D12963" w:rsidRPr="000D70FF" w:rsidRDefault="00D12963" w:rsidP="00D12963">
      <w:pPr>
        <w:spacing w:line="360" w:lineRule="auto"/>
        <w:rPr>
          <w:rFonts w:ascii="宋体" w:hAnsi="宋体"/>
          <w:b w:val="0"/>
          <w:bCs/>
          <w:color w:val="FF0000"/>
          <w:szCs w:val="24"/>
        </w:rPr>
      </w:pPr>
      <w:r w:rsidRPr="000D70FF">
        <w:rPr>
          <w:rFonts w:ascii="宋体" w:hAnsi="宋体" w:hint="eastAsia"/>
          <w:b w:val="0"/>
          <w:bCs/>
          <w:color w:val="FF0000"/>
          <w:szCs w:val="24"/>
        </w:rPr>
        <w:t>2、未标“★”的参数为非关键性技术参数，如有</w:t>
      </w:r>
      <w:r w:rsidRPr="000D70FF">
        <w:rPr>
          <w:rFonts w:ascii="宋体" w:hAnsi="宋体"/>
          <w:b w:val="0"/>
          <w:bCs/>
          <w:color w:val="FF0000"/>
          <w:szCs w:val="24"/>
        </w:rPr>
        <w:t>6</w:t>
      </w:r>
      <w:r w:rsidRPr="000D70FF">
        <w:rPr>
          <w:rFonts w:ascii="宋体" w:hAnsi="宋体" w:hint="eastAsia"/>
          <w:b w:val="0"/>
          <w:bCs/>
          <w:color w:val="FF0000"/>
          <w:szCs w:val="24"/>
        </w:rPr>
        <w:t>项或</w:t>
      </w:r>
      <w:r w:rsidRPr="000D70FF">
        <w:rPr>
          <w:rFonts w:ascii="宋体" w:hAnsi="宋体"/>
          <w:b w:val="0"/>
          <w:bCs/>
          <w:color w:val="FF0000"/>
          <w:szCs w:val="24"/>
        </w:rPr>
        <w:t>6</w:t>
      </w:r>
      <w:r w:rsidRPr="000D70FF">
        <w:rPr>
          <w:rFonts w:ascii="宋体" w:hAnsi="宋体" w:hint="eastAsia"/>
          <w:b w:val="0"/>
          <w:bCs/>
          <w:color w:val="FF0000"/>
          <w:szCs w:val="24"/>
        </w:rPr>
        <w:t>项以上不满足，也视为未实质性响应采购需求。</w:t>
      </w:r>
    </w:p>
    <w:p w:rsidR="00B74B0E" w:rsidRPr="00D12963" w:rsidRDefault="00B74B0E"/>
    <w:sectPr w:rsidR="00B74B0E" w:rsidRPr="00D1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2CA9"/>
    <w:multiLevelType w:val="singleLevel"/>
    <w:tmpl w:val="4FDC2CA9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63"/>
    <w:rsid w:val="00B74B0E"/>
    <w:rsid w:val="00D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3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3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Company>HP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35863</dc:creator>
  <cp:lastModifiedBy>35863</cp:lastModifiedBy>
  <cp:revision>1</cp:revision>
  <dcterms:created xsi:type="dcterms:W3CDTF">2024-09-11T02:19:00Z</dcterms:created>
  <dcterms:modified xsi:type="dcterms:W3CDTF">2024-09-11T02:20:00Z</dcterms:modified>
</cp:coreProperties>
</file>