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81" w:rsidRPr="00E23C81" w:rsidRDefault="00E23C81" w:rsidP="00E23C81">
      <w:pPr>
        <w:jc w:val="left"/>
        <w:rPr>
          <w:rFonts w:ascii="方正小标宋简体" w:eastAsia="方正小标宋简体" w:hAnsi="方正小标宋简体" w:cs="方正小标宋简体" w:hint="eastAsia"/>
          <w:b w:val="0"/>
          <w:kern w:val="21"/>
          <w:sz w:val="44"/>
          <w:szCs w:val="44"/>
          <w:lang w:bidi="ar"/>
        </w:rPr>
      </w:pPr>
      <w:r w:rsidRPr="00E23C81">
        <w:rPr>
          <w:rFonts w:ascii="方正小标宋简体" w:eastAsia="方正小标宋简体" w:hAnsi="方正小标宋简体" w:cs="方正小标宋简体" w:hint="eastAsia"/>
          <w:b w:val="0"/>
          <w:kern w:val="21"/>
          <w:sz w:val="44"/>
          <w:szCs w:val="44"/>
          <w:lang w:bidi="ar"/>
        </w:rPr>
        <w:t>附件2</w:t>
      </w:r>
      <w:bookmarkStart w:id="0" w:name="_GoBack"/>
      <w:bookmarkEnd w:id="0"/>
    </w:p>
    <w:p w:rsidR="00E23C81" w:rsidRPr="00E23C81" w:rsidRDefault="00E23C81" w:rsidP="00E23C81">
      <w:pPr>
        <w:jc w:val="center"/>
        <w:rPr>
          <w:rFonts w:ascii="方正小标宋简体" w:eastAsia="方正小标宋简体" w:hAnsi="方正小标宋简体" w:cs="方正小标宋简体" w:hint="eastAsia"/>
          <w:b w:val="0"/>
          <w:kern w:val="21"/>
          <w:sz w:val="44"/>
          <w:szCs w:val="44"/>
          <w:lang w:bidi="ar"/>
        </w:rPr>
      </w:pPr>
      <w:r w:rsidRPr="00E23C81">
        <w:rPr>
          <w:rFonts w:ascii="方正小标宋简体" w:eastAsia="方正小标宋简体" w:hAnsi="方正小标宋简体" w:cs="方正小标宋简体" w:hint="eastAsia"/>
          <w:b w:val="0"/>
          <w:kern w:val="21"/>
          <w:sz w:val="44"/>
          <w:szCs w:val="44"/>
          <w:lang w:bidi="ar"/>
        </w:rPr>
        <w:t xml:space="preserve">第五章  </w:t>
      </w:r>
      <w:r w:rsidRPr="00E23C81">
        <w:rPr>
          <w:rFonts w:ascii="方正小标宋简体" w:eastAsia="方正小标宋简体" w:hAnsi="方正小标宋简体" w:cs="方正小标宋简体" w:hint="eastAsia"/>
          <w:b w:val="0"/>
          <w:kern w:val="21"/>
          <w:sz w:val="44"/>
          <w:szCs w:val="44"/>
          <w:lang w:bidi="ar"/>
        </w:rPr>
        <w:t>服务需求</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shd w:val="clear" w:color="auto" w:fill="FFFFFF"/>
        </w:rPr>
      </w:pPr>
      <w:bookmarkStart w:id="1" w:name="_Toc53217151"/>
      <w:r w:rsidRPr="00E23C81">
        <w:rPr>
          <w:rFonts w:ascii="宋体" w:hAnsi="宋体" w:cs="宋体" w:hint="eastAsia"/>
          <w:b w:val="0"/>
          <w:bCs/>
          <w:kern w:val="0"/>
          <w:szCs w:val="24"/>
        </w:rPr>
        <w:t>1、项目概况</w:t>
      </w:r>
      <w:bookmarkEnd w:id="1"/>
    </w:p>
    <w:p w:rsidR="00E23C81" w:rsidRPr="00E23C81" w:rsidRDefault="00E23C81" w:rsidP="00E23C81">
      <w:pPr>
        <w:spacing w:line="360" w:lineRule="auto"/>
        <w:ind w:firstLineChars="200" w:firstLine="480"/>
        <w:rPr>
          <w:rFonts w:ascii="宋体" w:hAnsi="宋体" w:cs="宋体" w:hint="eastAsia"/>
          <w:b w:val="0"/>
          <w:bCs/>
          <w:kern w:val="0"/>
          <w:szCs w:val="24"/>
        </w:rPr>
      </w:pPr>
      <w:r w:rsidRPr="00E23C81">
        <w:rPr>
          <w:rFonts w:ascii="宋体" w:hAnsi="宋体" w:cs="宋体" w:hint="eastAsia"/>
          <w:b w:val="0"/>
          <w:bCs/>
          <w:kern w:val="0"/>
          <w:szCs w:val="24"/>
        </w:rPr>
        <w:t>依据《中华人民共和国网络安全法》《信息安全等级保护管理办法》的相关要求，对蚌埠市龙子湖区数据资源管理</w:t>
      </w:r>
      <w:proofErr w:type="gramStart"/>
      <w:r w:rsidRPr="00E23C81">
        <w:rPr>
          <w:rFonts w:ascii="宋体" w:hAnsi="宋体" w:cs="宋体" w:hint="eastAsia"/>
          <w:b w:val="0"/>
          <w:bCs/>
          <w:kern w:val="0"/>
          <w:szCs w:val="24"/>
        </w:rPr>
        <w:t>局重要</w:t>
      </w:r>
      <w:proofErr w:type="gramEnd"/>
      <w:r w:rsidRPr="00E23C81">
        <w:rPr>
          <w:rFonts w:ascii="宋体" w:hAnsi="宋体" w:cs="宋体" w:hint="eastAsia"/>
          <w:b w:val="0"/>
          <w:bCs/>
          <w:kern w:val="0"/>
          <w:szCs w:val="24"/>
        </w:rPr>
        <w:t>信息系统进行网络安全等级保护测评，包括：安全技术测评，安全管理测评，工具测试，编制系统安全整改方案，编制测评报告等。</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bookmarkStart w:id="2" w:name="_Toc53217152"/>
      <w:r w:rsidRPr="00E23C81">
        <w:rPr>
          <w:rFonts w:ascii="宋体" w:hAnsi="宋体" w:cs="宋体" w:hint="eastAsia"/>
          <w:b w:val="0"/>
          <w:bCs/>
          <w:kern w:val="0"/>
          <w:szCs w:val="24"/>
        </w:rPr>
        <w:t>2、项目实施范围</w:t>
      </w:r>
      <w:bookmarkEnd w:id="2"/>
    </w:p>
    <w:p w:rsidR="00E23C81" w:rsidRPr="00E23C81" w:rsidRDefault="00E23C81" w:rsidP="00E23C81">
      <w:pPr>
        <w:spacing w:line="360" w:lineRule="auto"/>
        <w:rPr>
          <w:rFonts w:ascii="宋体" w:hAnsi="宋体" w:cs="宋体" w:hint="eastAsia"/>
          <w:b w:val="0"/>
          <w:bCs/>
          <w:kern w:val="0"/>
          <w:szCs w:val="24"/>
        </w:rPr>
      </w:pPr>
      <w:r w:rsidRPr="00E23C81">
        <w:rPr>
          <w:rFonts w:ascii="宋体" w:hAnsi="宋体" w:cs="宋体" w:hint="eastAsia"/>
          <w:b w:val="0"/>
          <w:bCs/>
          <w:kern w:val="0"/>
          <w:szCs w:val="24"/>
        </w:rPr>
        <w:t>本次参于网络安全等级保护测评的系统如下：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3885"/>
        <w:gridCol w:w="2755"/>
        <w:gridCol w:w="1216"/>
      </w:tblGrid>
      <w:tr w:rsidR="00E23C81" w:rsidRPr="00E23C81" w:rsidTr="00D13C33">
        <w:trPr>
          <w:trHeight w:val="585"/>
          <w:jc w:val="center"/>
        </w:trPr>
        <w:tc>
          <w:tcPr>
            <w:tcW w:w="1216" w:type="dxa"/>
            <w:shd w:val="clear" w:color="000000" w:fill="F2F2F2"/>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序号</w:t>
            </w:r>
          </w:p>
        </w:tc>
        <w:tc>
          <w:tcPr>
            <w:tcW w:w="3885" w:type="dxa"/>
            <w:shd w:val="clear" w:color="000000" w:fill="F2F2F2"/>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待测系统名称</w:t>
            </w:r>
          </w:p>
        </w:tc>
        <w:tc>
          <w:tcPr>
            <w:tcW w:w="2755" w:type="dxa"/>
            <w:shd w:val="clear" w:color="000000" w:fill="F2F2F2"/>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安全保护等级</w:t>
            </w:r>
          </w:p>
        </w:tc>
        <w:tc>
          <w:tcPr>
            <w:tcW w:w="1216" w:type="dxa"/>
            <w:shd w:val="clear" w:color="000000" w:fill="F2F2F2"/>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备注</w:t>
            </w:r>
          </w:p>
        </w:tc>
      </w:tr>
      <w:tr w:rsidR="00E23C81" w:rsidRPr="00E23C81" w:rsidTr="00D13C33">
        <w:trPr>
          <w:trHeight w:val="585"/>
          <w:jc w:val="center"/>
        </w:trPr>
        <w:tc>
          <w:tcPr>
            <w:tcW w:w="1216" w:type="dxa"/>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1</w:t>
            </w:r>
          </w:p>
        </w:tc>
        <w:tc>
          <w:tcPr>
            <w:tcW w:w="3885" w:type="dxa"/>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龙子湖区人民政府网站系统</w:t>
            </w:r>
          </w:p>
        </w:tc>
        <w:tc>
          <w:tcPr>
            <w:tcW w:w="2755" w:type="dxa"/>
          </w:tcPr>
          <w:p w:rsidR="00E23C81" w:rsidRPr="00E23C81" w:rsidRDefault="00E23C81" w:rsidP="00D13C33">
            <w:pPr>
              <w:widowControl/>
              <w:spacing w:line="360" w:lineRule="auto"/>
              <w:contextualSpacing/>
              <w:jc w:val="center"/>
              <w:rPr>
                <w:rFonts w:ascii="宋体" w:hAnsi="宋体" w:cs="宋体"/>
                <w:b w:val="0"/>
                <w:bCs/>
                <w:kern w:val="0"/>
                <w:szCs w:val="24"/>
              </w:rPr>
            </w:pPr>
            <w:r w:rsidRPr="00E23C81">
              <w:rPr>
                <w:rFonts w:ascii="宋体" w:hAnsi="宋体" w:cs="宋体"/>
                <w:b w:val="0"/>
                <w:bCs/>
                <w:kern w:val="0"/>
                <w:szCs w:val="24"/>
              </w:rPr>
              <w:t>三级</w:t>
            </w:r>
          </w:p>
        </w:tc>
        <w:tc>
          <w:tcPr>
            <w:tcW w:w="1216" w:type="dxa"/>
          </w:tcPr>
          <w:p w:rsidR="00E23C81" w:rsidRPr="00E23C81" w:rsidRDefault="00E23C81" w:rsidP="00D13C33">
            <w:pPr>
              <w:widowControl/>
              <w:spacing w:line="360" w:lineRule="auto"/>
              <w:contextualSpacing/>
              <w:jc w:val="center"/>
              <w:rPr>
                <w:rFonts w:ascii="宋体" w:hAnsi="宋体" w:cs="宋体"/>
                <w:b w:val="0"/>
                <w:bCs/>
                <w:kern w:val="0"/>
                <w:szCs w:val="24"/>
              </w:rPr>
            </w:pPr>
          </w:p>
        </w:tc>
      </w:tr>
    </w:tbl>
    <w:p w:rsidR="00E23C81" w:rsidRPr="00E23C81" w:rsidRDefault="00E23C81" w:rsidP="00E23C81">
      <w:pPr>
        <w:widowControl/>
        <w:shd w:val="clear" w:color="auto" w:fill="FFFFFF"/>
        <w:tabs>
          <w:tab w:val="left" w:pos="4650"/>
        </w:tabs>
        <w:spacing w:line="360" w:lineRule="auto"/>
        <w:jc w:val="left"/>
        <w:outlineLvl w:val="1"/>
        <w:rPr>
          <w:rFonts w:ascii="宋体" w:hAnsi="宋体" w:cs="宋体" w:hint="eastAsia"/>
          <w:b w:val="0"/>
          <w:bCs/>
          <w:kern w:val="0"/>
          <w:szCs w:val="24"/>
        </w:rPr>
      </w:pPr>
      <w:bookmarkStart w:id="3" w:name="_Toc53217153"/>
      <w:r w:rsidRPr="00E23C81">
        <w:rPr>
          <w:rFonts w:ascii="宋体" w:hAnsi="宋体" w:cs="宋体" w:hint="eastAsia"/>
          <w:b w:val="0"/>
          <w:bCs/>
          <w:kern w:val="0"/>
          <w:szCs w:val="24"/>
        </w:rPr>
        <w:t>3、指导思想和基本准则</w:t>
      </w:r>
      <w:bookmarkEnd w:id="3"/>
      <w:r w:rsidRPr="00E23C81">
        <w:rPr>
          <w:rFonts w:ascii="宋体" w:hAnsi="宋体" w:cs="宋体" w:hint="eastAsia"/>
          <w:b w:val="0"/>
          <w:bCs/>
          <w:kern w:val="0"/>
          <w:szCs w:val="24"/>
        </w:rPr>
        <w:tab/>
      </w:r>
    </w:p>
    <w:p w:rsidR="00E23C81" w:rsidRPr="00E23C81" w:rsidRDefault="00E23C81" w:rsidP="00E23C81">
      <w:pPr>
        <w:pStyle w:val="Default"/>
        <w:spacing w:line="360" w:lineRule="auto"/>
        <w:ind w:firstLineChars="200" w:firstLine="480"/>
        <w:rPr>
          <w:rFonts w:hAnsi="宋体" w:hint="eastAsia"/>
          <w:bCs/>
          <w:color w:val="auto"/>
          <w:kern w:val="2"/>
        </w:rPr>
      </w:pPr>
      <w:r w:rsidRPr="00E23C81">
        <w:rPr>
          <w:rFonts w:hAnsi="宋体" w:hint="eastAsia"/>
          <w:bCs/>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号）、公安部《关于开展信息安全等级保护安全建设整改工作的指导意见》（公信安[2009]1429号）等文件精神，结合蚌埠市龙子湖区数据资源管理局工作实际，现拟对蚌埠市龙子湖区数据资源管理</w:t>
      </w:r>
      <w:proofErr w:type="gramStart"/>
      <w:r w:rsidRPr="00E23C81">
        <w:rPr>
          <w:rFonts w:hAnsi="宋体" w:hint="eastAsia"/>
          <w:bCs/>
          <w:color w:val="auto"/>
          <w:kern w:val="2"/>
        </w:rPr>
        <w:t>局重要</w:t>
      </w:r>
      <w:proofErr w:type="gramEnd"/>
      <w:r w:rsidRPr="00E23C81">
        <w:rPr>
          <w:rFonts w:hAnsi="宋体" w:hint="eastAsia"/>
          <w:bCs/>
          <w:color w:val="auto"/>
          <w:kern w:val="2"/>
        </w:rPr>
        <w:t xml:space="preserve">信息系统实施网络安全等级保护测评，以进一步完善信息系统安全管理体系和技术防护体系，切实提高系统信息安全防护能力。 </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bookmarkStart w:id="4" w:name="_Toc53217154"/>
      <w:r w:rsidRPr="00E23C81">
        <w:rPr>
          <w:rFonts w:ascii="宋体" w:hAnsi="宋体" w:cs="宋体" w:hint="eastAsia"/>
          <w:b w:val="0"/>
          <w:bCs/>
          <w:kern w:val="0"/>
          <w:szCs w:val="24"/>
        </w:rPr>
        <w:t>4、等级保护测评主要包括以下几个方面：</w:t>
      </w:r>
      <w:bookmarkEnd w:id="4"/>
    </w:p>
    <w:p w:rsidR="00E23C81" w:rsidRPr="00E23C81" w:rsidRDefault="00E23C81" w:rsidP="00E23C81">
      <w:pPr>
        <w:pStyle w:val="a3"/>
        <w:numPr>
          <w:ilvl w:val="0"/>
          <w:numId w:val="2"/>
        </w:numPr>
        <w:spacing w:line="360" w:lineRule="auto"/>
        <w:ind w:left="0" w:firstLineChars="200" w:firstLine="480"/>
        <w:rPr>
          <w:rFonts w:ascii="宋体" w:eastAsia="宋体" w:hAnsi="宋体" w:cs="宋体" w:hint="eastAsia"/>
          <w:bCs/>
          <w:sz w:val="24"/>
          <w:szCs w:val="24"/>
        </w:rPr>
      </w:pPr>
      <w:bookmarkStart w:id="5" w:name="_Toc46177951"/>
      <w:bookmarkStart w:id="6" w:name="_Hlk35596349"/>
      <w:proofErr w:type="gramStart"/>
      <w:r w:rsidRPr="00E23C81">
        <w:rPr>
          <w:rFonts w:ascii="宋体" w:eastAsia="宋体" w:hAnsi="宋体" w:cs="宋体" w:hint="eastAsia"/>
          <w:bCs/>
          <w:sz w:val="24"/>
          <w:szCs w:val="24"/>
        </w:rPr>
        <w:t>等保测评</w:t>
      </w:r>
      <w:proofErr w:type="gramEnd"/>
      <w:r w:rsidRPr="00E23C81">
        <w:rPr>
          <w:rFonts w:ascii="宋体" w:eastAsia="宋体" w:hAnsi="宋体" w:cs="宋体" w:hint="eastAsia"/>
          <w:bCs/>
          <w:sz w:val="24"/>
          <w:szCs w:val="24"/>
        </w:rPr>
        <w:t>：完成包括安全物理环境、安全计算环境、安全区域边界、安全通信网络、安全管理中心和安全管理机构、安全管理制度、安全管理人员、安全建设管理和</w:t>
      </w:r>
      <w:proofErr w:type="gramStart"/>
      <w:r w:rsidRPr="00E23C81">
        <w:rPr>
          <w:rFonts w:ascii="宋体" w:eastAsia="宋体" w:hAnsi="宋体" w:cs="宋体" w:hint="eastAsia"/>
          <w:bCs/>
          <w:sz w:val="24"/>
          <w:szCs w:val="24"/>
        </w:rPr>
        <w:t>安全运维管理</w:t>
      </w:r>
      <w:proofErr w:type="gramEnd"/>
      <w:r w:rsidRPr="00E23C81">
        <w:rPr>
          <w:rFonts w:ascii="宋体" w:eastAsia="宋体" w:hAnsi="宋体" w:cs="宋体" w:hint="eastAsia"/>
          <w:bCs/>
          <w:sz w:val="24"/>
          <w:szCs w:val="24"/>
        </w:rPr>
        <w:t>方面的测评工作；</w:t>
      </w:r>
      <w:bookmarkEnd w:id="5"/>
    </w:p>
    <w:p w:rsidR="00E23C81" w:rsidRPr="00E23C81" w:rsidRDefault="00E23C81" w:rsidP="00E23C81">
      <w:pPr>
        <w:pStyle w:val="a3"/>
        <w:numPr>
          <w:ilvl w:val="0"/>
          <w:numId w:val="2"/>
        </w:numPr>
        <w:spacing w:line="360" w:lineRule="auto"/>
        <w:ind w:left="0" w:firstLineChars="200" w:firstLine="480"/>
        <w:rPr>
          <w:rFonts w:ascii="宋体" w:eastAsia="宋体" w:hAnsi="宋体" w:cs="宋体" w:hint="eastAsia"/>
          <w:bCs/>
          <w:sz w:val="24"/>
          <w:szCs w:val="24"/>
        </w:rPr>
      </w:pPr>
      <w:bookmarkStart w:id="7" w:name="_Toc46177952"/>
      <w:r w:rsidRPr="00E23C81">
        <w:rPr>
          <w:rFonts w:ascii="宋体" w:eastAsia="宋体" w:hAnsi="宋体" w:cs="宋体" w:hint="eastAsia"/>
          <w:bCs/>
          <w:sz w:val="24"/>
          <w:szCs w:val="24"/>
        </w:rPr>
        <w:t>工具测试：针对重要信息系统进行漏洞扫描、渗透测试等安全服务工作；</w:t>
      </w:r>
      <w:bookmarkEnd w:id="7"/>
    </w:p>
    <w:p w:rsidR="00E23C81" w:rsidRPr="00E23C81" w:rsidRDefault="00E23C81" w:rsidP="00E23C81">
      <w:pPr>
        <w:pStyle w:val="a3"/>
        <w:numPr>
          <w:ilvl w:val="0"/>
          <w:numId w:val="2"/>
        </w:numPr>
        <w:spacing w:line="360" w:lineRule="auto"/>
        <w:ind w:left="0" w:firstLineChars="200" w:firstLine="480"/>
        <w:rPr>
          <w:rFonts w:ascii="宋体" w:eastAsia="宋体" w:hAnsi="宋体" w:cs="宋体" w:hint="eastAsia"/>
          <w:bCs/>
          <w:sz w:val="24"/>
          <w:szCs w:val="24"/>
        </w:rPr>
      </w:pPr>
      <w:bookmarkStart w:id="8" w:name="_Toc46177953"/>
      <w:r w:rsidRPr="00E23C81">
        <w:rPr>
          <w:rFonts w:ascii="宋体" w:eastAsia="宋体" w:hAnsi="宋体" w:cs="宋体" w:hint="eastAsia"/>
          <w:bCs/>
          <w:sz w:val="24"/>
          <w:szCs w:val="24"/>
        </w:rPr>
        <w:t>整改建议：投标人应根据现场测评中发现的问题，分析与GB/T 22239-2019、ISO/IEC 27001、ISO/IEC 20000、ISO 22301、ITIL和ITSS等行</w:t>
      </w:r>
      <w:r w:rsidRPr="00E23C81">
        <w:rPr>
          <w:rFonts w:ascii="宋体" w:eastAsia="宋体" w:hAnsi="宋体" w:cs="宋体" w:hint="eastAsia"/>
          <w:bCs/>
          <w:sz w:val="24"/>
          <w:szCs w:val="24"/>
        </w:rPr>
        <w:lastRenderedPageBreak/>
        <w:t>业最佳实践之间的差距，按照网络安全等级保护标准要求提出安全整改建议；</w:t>
      </w:r>
      <w:bookmarkEnd w:id="8"/>
    </w:p>
    <w:p w:rsidR="00E23C81" w:rsidRPr="00E23C81" w:rsidRDefault="00E23C81" w:rsidP="00E23C81">
      <w:pPr>
        <w:pStyle w:val="a3"/>
        <w:numPr>
          <w:ilvl w:val="0"/>
          <w:numId w:val="2"/>
        </w:numPr>
        <w:spacing w:line="360" w:lineRule="auto"/>
        <w:ind w:left="0" w:firstLineChars="200" w:firstLine="480"/>
        <w:rPr>
          <w:rFonts w:ascii="宋体" w:eastAsia="宋体" w:hAnsi="宋体" w:cs="宋体" w:hint="eastAsia"/>
          <w:bCs/>
          <w:sz w:val="24"/>
          <w:szCs w:val="24"/>
        </w:rPr>
      </w:pPr>
      <w:bookmarkStart w:id="9" w:name="_Toc46177954"/>
      <w:r w:rsidRPr="00E23C81">
        <w:rPr>
          <w:rFonts w:ascii="宋体" w:eastAsia="宋体" w:hAnsi="宋体" w:cs="宋体" w:hint="eastAsia"/>
          <w:bCs/>
          <w:sz w:val="24"/>
          <w:szCs w:val="24"/>
        </w:rPr>
        <w:t>编制测评报告：完成上述工作后，投标人最后出具符合标准要求的信息系统网络安全等级保护测评报告。</w:t>
      </w:r>
      <w:bookmarkEnd w:id="6"/>
      <w:bookmarkEnd w:id="9"/>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bookmarkStart w:id="10" w:name="_Toc53217156"/>
      <w:r w:rsidRPr="00E23C81">
        <w:rPr>
          <w:rFonts w:ascii="宋体" w:hAnsi="宋体" w:cs="宋体" w:hint="eastAsia"/>
          <w:b w:val="0"/>
          <w:bCs/>
          <w:kern w:val="0"/>
          <w:szCs w:val="24"/>
        </w:rPr>
        <w:t>5、工作要求：</w:t>
      </w:r>
      <w:bookmarkEnd w:id="10"/>
    </w:p>
    <w:p w:rsidR="00E23C81" w:rsidRPr="00E23C81" w:rsidRDefault="00E23C81" w:rsidP="00E23C81">
      <w:pPr>
        <w:pStyle w:val="a4"/>
        <w:numPr>
          <w:ilvl w:val="0"/>
          <w:numId w:val="3"/>
        </w:numPr>
        <w:spacing w:line="360" w:lineRule="auto"/>
        <w:ind w:firstLineChars="0"/>
        <w:outlineLvl w:val="2"/>
        <w:rPr>
          <w:rFonts w:ascii="宋体" w:hAnsi="宋体" w:cs="宋体" w:hint="eastAsia"/>
          <w:bCs/>
          <w:sz w:val="24"/>
          <w:szCs w:val="24"/>
        </w:rPr>
      </w:pPr>
      <w:bookmarkStart w:id="11" w:name="_Toc52369337"/>
      <w:bookmarkStart w:id="12" w:name="_Toc46177957"/>
      <w:bookmarkStart w:id="13" w:name="_Toc53217157"/>
      <w:r w:rsidRPr="00E23C81">
        <w:rPr>
          <w:rFonts w:ascii="宋体" w:hAnsi="宋体" w:cs="宋体" w:hint="eastAsia"/>
          <w:bCs/>
          <w:sz w:val="24"/>
          <w:szCs w:val="24"/>
        </w:rPr>
        <w:t>实施原则</w:t>
      </w:r>
      <w:bookmarkEnd w:id="11"/>
      <w:bookmarkEnd w:id="12"/>
      <w:bookmarkEnd w:id="13"/>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规范性原则：成交投标人工作中的过程和文档，具有很好的规范性，可以便于项目的跟踪和控制；</w:t>
      </w:r>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标准性原则：测评方案的设计与实施应依据国家等级保护的相关标准进行。</w:t>
      </w:r>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可控性原则：测评的工具、方法和过程需在双方认可的范围之内并符合进度表的安排，保证采购人对服务工作的可控性；</w:t>
      </w:r>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整体性原则：测评和分析的范围和内容应当整体全面，包括安全涉及的各个层面，避免由于遗漏造成未来的安全隐患；</w:t>
      </w:r>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最小影响原则：测评工作应尽可能小的影响系统和网络的正常运行，不能</w:t>
      </w:r>
      <w:proofErr w:type="gramStart"/>
      <w:r w:rsidRPr="00E23C81">
        <w:rPr>
          <w:rFonts w:ascii="宋体" w:hAnsi="宋体" w:cs="宋体" w:hint="eastAsia"/>
          <w:b w:val="0"/>
          <w:bCs/>
          <w:szCs w:val="24"/>
        </w:rPr>
        <w:t>对现网的</w:t>
      </w:r>
      <w:proofErr w:type="gramEnd"/>
      <w:r w:rsidRPr="00E23C81">
        <w:rPr>
          <w:rFonts w:ascii="宋体" w:hAnsi="宋体" w:cs="宋体" w:hint="eastAsia"/>
          <w:b w:val="0"/>
          <w:bCs/>
          <w:szCs w:val="24"/>
        </w:rPr>
        <w:t>运行和业务的正常提供产生显著影响(包括系统性能明显下降、网络拥塞、服务中断，如无法避免出现这些情况应在应答书上详细描述)；</w:t>
      </w:r>
    </w:p>
    <w:p w:rsidR="00E23C81" w:rsidRPr="00E23C81" w:rsidRDefault="00E23C81" w:rsidP="00E23C81">
      <w:pPr>
        <w:tabs>
          <w:tab w:val="left" w:pos="720"/>
        </w:tabs>
        <w:adjustRightInd w:val="0"/>
        <w:snapToGrid w:val="0"/>
        <w:spacing w:line="360" w:lineRule="auto"/>
        <w:ind w:firstLineChars="192" w:firstLine="461"/>
        <w:rPr>
          <w:rFonts w:ascii="宋体" w:hAnsi="宋体" w:cs="宋体" w:hint="eastAsia"/>
          <w:b w:val="0"/>
          <w:bCs/>
          <w:szCs w:val="24"/>
        </w:rPr>
      </w:pPr>
      <w:r w:rsidRPr="00E23C81">
        <w:rPr>
          <w:rFonts w:ascii="宋体" w:hAnsi="宋体" w:cs="宋体" w:hint="eastAsia"/>
          <w:b w:val="0"/>
          <w:bCs/>
          <w:szCs w:val="24"/>
        </w:rPr>
        <w:t>保密原则：对测评的过程数据和结果数据严格保密，未经授权不得泄露给任何单位和个人，不得利用此数据进行任何侵害采购</w:t>
      </w:r>
      <w:proofErr w:type="gramStart"/>
      <w:r w:rsidRPr="00E23C81">
        <w:rPr>
          <w:rFonts w:ascii="宋体" w:hAnsi="宋体" w:cs="宋体" w:hint="eastAsia"/>
          <w:b w:val="0"/>
          <w:bCs/>
          <w:szCs w:val="24"/>
        </w:rPr>
        <w:t>人网络</w:t>
      </w:r>
      <w:proofErr w:type="gramEnd"/>
      <w:r w:rsidRPr="00E23C81">
        <w:rPr>
          <w:rFonts w:ascii="宋体" w:hAnsi="宋体" w:cs="宋体" w:hint="eastAsia"/>
          <w:b w:val="0"/>
          <w:bCs/>
          <w:szCs w:val="24"/>
        </w:rPr>
        <w:t>的行为，否则采购人有权追究责任。</w:t>
      </w:r>
    </w:p>
    <w:p w:rsidR="00E23C81" w:rsidRPr="00E23C81" w:rsidRDefault="00E23C81" w:rsidP="00E23C81">
      <w:pPr>
        <w:pStyle w:val="a4"/>
        <w:numPr>
          <w:ilvl w:val="0"/>
          <w:numId w:val="3"/>
        </w:numPr>
        <w:spacing w:line="360" w:lineRule="auto"/>
        <w:ind w:firstLineChars="0"/>
        <w:outlineLvl w:val="2"/>
        <w:rPr>
          <w:rFonts w:ascii="宋体" w:hAnsi="宋体" w:cs="宋体" w:hint="eastAsia"/>
          <w:bCs/>
          <w:sz w:val="24"/>
          <w:szCs w:val="24"/>
        </w:rPr>
      </w:pPr>
      <w:bookmarkStart w:id="14" w:name="_Toc53217158"/>
      <w:bookmarkStart w:id="15" w:name="_Toc46177958"/>
      <w:bookmarkStart w:id="16" w:name="_Toc52369338"/>
      <w:r w:rsidRPr="00E23C81">
        <w:rPr>
          <w:rFonts w:ascii="宋体" w:hAnsi="宋体" w:cs="宋体" w:hint="eastAsia"/>
          <w:bCs/>
          <w:sz w:val="24"/>
          <w:szCs w:val="24"/>
        </w:rPr>
        <w:t>测评依据</w:t>
      </w:r>
      <w:bookmarkEnd w:id="14"/>
      <w:bookmarkEnd w:id="15"/>
      <w:bookmarkEnd w:id="16"/>
    </w:p>
    <w:p w:rsidR="00E23C81" w:rsidRPr="00E23C81" w:rsidRDefault="00E23C81" w:rsidP="00E23C81">
      <w:pPr>
        <w:tabs>
          <w:tab w:val="left" w:pos="720"/>
        </w:tabs>
        <w:adjustRightInd w:val="0"/>
        <w:snapToGrid w:val="0"/>
        <w:spacing w:line="360" w:lineRule="auto"/>
        <w:rPr>
          <w:rFonts w:ascii="宋体" w:hAnsi="宋体" w:cs="宋体" w:hint="eastAsia"/>
          <w:b w:val="0"/>
          <w:bCs/>
          <w:szCs w:val="24"/>
        </w:rPr>
      </w:pPr>
      <w:r w:rsidRPr="00E23C81">
        <w:rPr>
          <w:rFonts w:ascii="宋体" w:hAnsi="宋体" w:cs="宋体" w:hint="eastAsia"/>
          <w:b w:val="0"/>
          <w:bCs/>
          <w:szCs w:val="24"/>
        </w:rPr>
        <w:t xml:space="preserve">《信息安全技术 网络安全等级保护基本要求》（GB/T 22239-2019） </w:t>
      </w:r>
    </w:p>
    <w:p w:rsidR="00E23C81" w:rsidRPr="00E23C81" w:rsidRDefault="00E23C81" w:rsidP="00E23C81">
      <w:pPr>
        <w:tabs>
          <w:tab w:val="left" w:pos="720"/>
        </w:tabs>
        <w:adjustRightInd w:val="0"/>
        <w:snapToGrid w:val="0"/>
        <w:spacing w:line="360" w:lineRule="auto"/>
        <w:rPr>
          <w:rFonts w:ascii="宋体" w:hAnsi="宋体" w:cs="宋体" w:hint="eastAsia"/>
          <w:b w:val="0"/>
          <w:bCs/>
          <w:szCs w:val="24"/>
        </w:rPr>
      </w:pPr>
      <w:r w:rsidRPr="00E23C81">
        <w:rPr>
          <w:rFonts w:ascii="宋体" w:hAnsi="宋体" w:cs="宋体" w:hint="eastAsia"/>
          <w:b w:val="0"/>
          <w:bCs/>
          <w:szCs w:val="24"/>
        </w:rPr>
        <w:t>《信息安全技术 网络安全等级保护定级指南》（GB/T 22240-2020）</w:t>
      </w:r>
    </w:p>
    <w:p w:rsidR="00E23C81" w:rsidRPr="00E23C81" w:rsidRDefault="00E23C81" w:rsidP="00E23C81">
      <w:pPr>
        <w:tabs>
          <w:tab w:val="left" w:pos="720"/>
        </w:tabs>
        <w:adjustRightInd w:val="0"/>
        <w:snapToGrid w:val="0"/>
        <w:spacing w:line="360" w:lineRule="auto"/>
        <w:rPr>
          <w:rFonts w:ascii="宋体" w:hAnsi="宋体" w:cs="宋体" w:hint="eastAsia"/>
          <w:b w:val="0"/>
          <w:bCs/>
          <w:szCs w:val="24"/>
        </w:rPr>
      </w:pPr>
      <w:r w:rsidRPr="00E23C81">
        <w:rPr>
          <w:rFonts w:ascii="宋体" w:hAnsi="宋体" w:cs="宋体" w:hint="eastAsia"/>
          <w:b w:val="0"/>
          <w:bCs/>
          <w:szCs w:val="24"/>
        </w:rPr>
        <w:t xml:space="preserve">《信息安全技术 网络安全等级保护测评要求》（GB/T 28448-2019） </w:t>
      </w:r>
    </w:p>
    <w:p w:rsidR="00E23C81" w:rsidRPr="00E23C81" w:rsidRDefault="00E23C81" w:rsidP="00E23C81">
      <w:pPr>
        <w:tabs>
          <w:tab w:val="left" w:pos="720"/>
        </w:tabs>
        <w:adjustRightInd w:val="0"/>
        <w:snapToGrid w:val="0"/>
        <w:spacing w:line="360" w:lineRule="auto"/>
        <w:rPr>
          <w:rFonts w:ascii="宋体" w:hAnsi="宋体" w:cs="宋体" w:hint="eastAsia"/>
          <w:b w:val="0"/>
          <w:bCs/>
          <w:szCs w:val="24"/>
        </w:rPr>
      </w:pPr>
      <w:r w:rsidRPr="00E23C81">
        <w:rPr>
          <w:rFonts w:ascii="宋体" w:hAnsi="宋体" w:cs="宋体" w:hint="eastAsia"/>
          <w:b w:val="0"/>
          <w:bCs/>
          <w:szCs w:val="24"/>
        </w:rPr>
        <w:t>《信息安全技术 网络安全等级保护测评过程指南》（GB∕T 28449-2018）</w:t>
      </w:r>
    </w:p>
    <w:p w:rsidR="00E23C81" w:rsidRPr="00E23C81" w:rsidRDefault="00E23C81" w:rsidP="00E23C81">
      <w:pPr>
        <w:pStyle w:val="a4"/>
        <w:numPr>
          <w:ilvl w:val="0"/>
          <w:numId w:val="3"/>
        </w:numPr>
        <w:spacing w:line="360" w:lineRule="auto"/>
        <w:ind w:firstLineChars="0"/>
        <w:rPr>
          <w:rFonts w:ascii="宋体" w:hAnsi="宋体" w:cs="宋体" w:hint="eastAsia"/>
          <w:bCs/>
          <w:sz w:val="24"/>
          <w:szCs w:val="24"/>
        </w:rPr>
      </w:pPr>
      <w:r w:rsidRPr="00E23C81">
        <w:rPr>
          <w:rFonts w:ascii="宋体" w:hAnsi="宋体" w:cs="宋体" w:hint="eastAsia"/>
          <w:bCs/>
          <w:sz w:val="24"/>
          <w:szCs w:val="24"/>
        </w:rPr>
        <w:t>等级保护测评内容</w:t>
      </w:r>
    </w:p>
    <w:p w:rsidR="00E23C81" w:rsidRPr="00E23C81" w:rsidRDefault="00E23C81" w:rsidP="00E23C81">
      <w:pPr>
        <w:snapToGrid w:val="0"/>
        <w:spacing w:line="360" w:lineRule="auto"/>
        <w:ind w:firstLineChars="200" w:firstLine="480"/>
        <w:rPr>
          <w:rFonts w:ascii="宋体" w:hAnsi="宋体" w:cs="宋体" w:hint="eastAsia"/>
          <w:b w:val="0"/>
          <w:bCs/>
          <w:szCs w:val="24"/>
        </w:rPr>
      </w:pPr>
      <w:bookmarkStart w:id="17" w:name="_Toc288552020"/>
      <w:bookmarkStart w:id="18" w:name="_Toc288570237"/>
      <w:bookmarkStart w:id="19" w:name="_Toc287704425"/>
      <w:bookmarkStart w:id="20" w:name="_Toc288574635"/>
      <w:r w:rsidRPr="00E23C81">
        <w:rPr>
          <w:rFonts w:ascii="宋体" w:hAnsi="宋体" w:cs="宋体" w:hint="eastAsia"/>
          <w:b w:val="0"/>
          <w:bCs/>
          <w:szCs w:val="24"/>
        </w:rPr>
        <w:t>根据国家等级保护相关标准，本次项目的网络安全等级保护测评应包括以下内容：</w:t>
      </w:r>
    </w:p>
    <w:bookmarkEnd w:id="17"/>
    <w:bookmarkEnd w:id="18"/>
    <w:bookmarkEnd w:id="19"/>
    <w:bookmarkEnd w:id="20"/>
    <w:p w:rsidR="00E23C81" w:rsidRPr="00E23C81" w:rsidRDefault="00E23C81" w:rsidP="00E23C81">
      <w:pPr>
        <w:pStyle w:val="3"/>
        <w:overflowPunct w:val="0"/>
        <w:topLinePunct/>
        <w:spacing w:line="360" w:lineRule="auto"/>
        <w:ind w:firstLineChars="200" w:firstLine="480"/>
        <w:rPr>
          <w:rFonts w:cs="宋体" w:hint="eastAsia"/>
          <w:b w:val="0"/>
          <w:bCs/>
          <w:color w:val="auto"/>
          <w:sz w:val="24"/>
          <w:szCs w:val="24"/>
        </w:rPr>
      </w:pPr>
      <w:r w:rsidRPr="00E23C81">
        <w:rPr>
          <w:rFonts w:cs="宋体" w:hint="eastAsia"/>
          <w:b w:val="0"/>
          <w:bCs/>
          <w:color w:val="auto"/>
          <w:sz w:val="24"/>
          <w:szCs w:val="24"/>
        </w:rPr>
        <w:t>安全技术测评：包括安全物理环境、安全通信网络、安全区域边界、安全计算环境、安全管理中心等五个方面的安全测评；</w:t>
      </w:r>
    </w:p>
    <w:p w:rsidR="00E23C81" w:rsidRPr="00E23C81" w:rsidRDefault="00E23C81" w:rsidP="00E23C81">
      <w:pPr>
        <w:pStyle w:val="3"/>
        <w:overflowPunct w:val="0"/>
        <w:topLinePunct/>
        <w:spacing w:line="360" w:lineRule="auto"/>
        <w:ind w:firstLineChars="200" w:firstLine="480"/>
        <w:rPr>
          <w:rFonts w:cs="宋体" w:hint="eastAsia"/>
          <w:b w:val="0"/>
          <w:bCs/>
          <w:color w:val="auto"/>
          <w:sz w:val="24"/>
          <w:szCs w:val="24"/>
        </w:rPr>
      </w:pPr>
      <w:r w:rsidRPr="00E23C81">
        <w:rPr>
          <w:rFonts w:cs="宋体" w:hint="eastAsia"/>
          <w:b w:val="0"/>
          <w:bCs/>
          <w:color w:val="auto"/>
          <w:sz w:val="24"/>
          <w:szCs w:val="24"/>
        </w:rPr>
        <w:t>安全管理测评：包括安全管理制度、安全管理机构、安全管理人员、安全建设管理和</w:t>
      </w:r>
      <w:proofErr w:type="gramStart"/>
      <w:r w:rsidRPr="00E23C81">
        <w:rPr>
          <w:rFonts w:cs="宋体" w:hint="eastAsia"/>
          <w:b w:val="0"/>
          <w:bCs/>
          <w:color w:val="auto"/>
          <w:sz w:val="24"/>
          <w:szCs w:val="24"/>
        </w:rPr>
        <w:t>安全运维管理</w:t>
      </w:r>
      <w:proofErr w:type="gramEnd"/>
      <w:r w:rsidRPr="00E23C81">
        <w:rPr>
          <w:rFonts w:cs="宋体" w:hint="eastAsia"/>
          <w:b w:val="0"/>
          <w:bCs/>
          <w:color w:val="auto"/>
          <w:sz w:val="24"/>
          <w:szCs w:val="24"/>
        </w:rPr>
        <w:t>等五个方面的安全测评。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1" w:name="_Toc4424566"/>
      <w:r w:rsidRPr="00E23C81">
        <w:rPr>
          <w:rFonts w:ascii="宋体" w:hAnsi="宋体" w:cs="宋体" w:hint="eastAsia"/>
          <w:b w:val="0"/>
          <w:bCs/>
          <w:szCs w:val="24"/>
        </w:rPr>
        <w:t>安全物理</w:t>
      </w:r>
      <w:bookmarkEnd w:id="21"/>
      <w:r w:rsidRPr="00E23C81">
        <w:rPr>
          <w:rFonts w:ascii="宋体" w:hAnsi="宋体" w:cs="宋体" w:hint="eastAsia"/>
          <w:b w:val="0"/>
          <w:bCs/>
          <w:szCs w:val="24"/>
        </w:rPr>
        <w:t>环境</w:t>
      </w:r>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2" w:name="_Toc4424567"/>
      <w:r w:rsidRPr="00E23C81">
        <w:rPr>
          <w:rFonts w:ascii="宋体" w:hAnsi="宋体" w:cs="宋体" w:hint="eastAsia"/>
          <w:b w:val="0"/>
          <w:bCs/>
          <w:szCs w:val="24"/>
        </w:rPr>
        <w:t>安全通信网络</w:t>
      </w:r>
      <w:bookmarkEnd w:id="22"/>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安全通信网络测评是对网络系统安全防护情况进行测评，包括网络架构、通信传输、可信验证等方面的安全状况。</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r w:rsidRPr="00E23C81">
        <w:rPr>
          <w:rFonts w:ascii="宋体" w:hAnsi="宋体" w:cs="宋体" w:hint="eastAsia"/>
          <w:b w:val="0"/>
          <w:bCs/>
          <w:szCs w:val="24"/>
        </w:rPr>
        <w:t>安全区域边界</w:t>
      </w:r>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安全区域边界是对边界防护、访问控制、入侵防范、恶意代码防范、安全审计、可信验证等方面的测评。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3" w:name="_Toc4424569"/>
      <w:r w:rsidRPr="00E23C81">
        <w:rPr>
          <w:rFonts w:ascii="宋体" w:hAnsi="宋体" w:cs="宋体" w:hint="eastAsia"/>
          <w:b w:val="0"/>
          <w:bCs/>
          <w:szCs w:val="24"/>
        </w:rPr>
        <w:t>安全</w:t>
      </w:r>
      <w:bookmarkEnd w:id="23"/>
      <w:r w:rsidRPr="00E23C81">
        <w:rPr>
          <w:rFonts w:ascii="宋体" w:hAnsi="宋体" w:cs="宋体" w:hint="eastAsia"/>
          <w:b w:val="0"/>
          <w:bCs/>
          <w:szCs w:val="24"/>
        </w:rPr>
        <w:t>计算环境</w:t>
      </w:r>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安全计算环境是对身份鉴别、访问控制、安全审计、入侵防范、恶意代码防范、可信验证、数据完整性、数据保密性、数据备份恢复、剩余信息保护、个人信息保护等方面的测评。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r w:rsidRPr="00E23C81">
        <w:rPr>
          <w:rFonts w:ascii="宋体" w:hAnsi="宋体" w:cs="宋体" w:hint="eastAsia"/>
          <w:b w:val="0"/>
          <w:bCs/>
          <w:szCs w:val="24"/>
        </w:rPr>
        <w:t>安全管理中心</w:t>
      </w:r>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安全管理中心是对系统管理、审计管理、安全管理、集中管控等方面的测评。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4" w:name="_Toc4424571"/>
      <w:r w:rsidRPr="00E23C81">
        <w:rPr>
          <w:rFonts w:ascii="宋体" w:hAnsi="宋体" w:cs="宋体" w:hint="eastAsia"/>
          <w:b w:val="0"/>
          <w:bCs/>
          <w:szCs w:val="24"/>
        </w:rPr>
        <w:t>安全管理制度</w:t>
      </w:r>
      <w:bookmarkEnd w:id="24"/>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安全管理制度测评是对安全策略、管理制度、制定和发布、评审和修订进行测评。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5" w:name="_Toc4424572"/>
      <w:r w:rsidRPr="00E23C81">
        <w:rPr>
          <w:rFonts w:ascii="宋体" w:hAnsi="宋体" w:cs="宋体" w:hint="eastAsia"/>
          <w:b w:val="0"/>
          <w:bCs/>
          <w:szCs w:val="24"/>
        </w:rPr>
        <w:t>安全管理机构</w:t>
      </w:r>
      <w:bookmarkEnd w:id="25"/>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安全管理机构测评是对岗位设置、人员配备、授权和审批、沟通和合作、审核和检查等情况进行测评。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6" w:name="_Toc4424573"/>
      <w:r w:rsidRPr="00E23C81">
        <w:rPr>
          <w:rFonts w:ascii="宋体" w:hAnsi="宋体" w:cs="宋体" w:hint="eastAsia"/>
          <w:b w:val="0"/>
          <w:bCs/>
          <w:szCs w:val="24"/>
        </w:rPr>
        <w:t>安全管理</w:t>
      </w:r>
      <w:bookmarkEnd w:id="26"/>
      <w:r w:rsidRPr="00E23C81">
        <w:rPr>
          <w:rFonts w:ascii="宋体" w:hAnsi="宋体" w:cs="宋体" w:hint="eastAsia"/>
          <w:b w:val="0"/>
          <w:bCs/>
          <w:szCs w:val="24"/>
        </w:rPr>
        <w:t>人员</w:t>
      </w:r>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安全管理人员测评是对人员录用、人员离岗、安全意识教育和培训、外部人员访问管理等情况进行测评。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7" w:name="_Toc4424574"/>
      <w:r w:rsidRPr="00E23C81">
        <w:rPr>
          <w:rFonts w:ascii="宋体" w:hAnsi="宋体" w:cs="宋体" w:hint="eastAsia"/>
          <w:b w:val="0"/>
          <w:bCs/>
          <w:szCs w:val="24"/>
        </w:rPr>
        <w:t>安全建设管理</w:t>
      </w:r>
      <w:bookmarkEnd w:id="27"/>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r w:rsidRPr="00E23C81">
        <w:rPr>
          <w:rFonts w:ascii="宋体" w:hAnsi="宋体" w:cs="宋体" w:hint="eastAsia"/>
          <w:b w:val="0"/>
          <w:bCs/>
          <w:szCs w:val="24"/>
        </w:rPr>
        <w:t>安全建设管理测评是对建设过程中安全方案设计、产品采购和使用、自行软件开发、外包软件开发、 工程实施、测试验收、系统交付、 等级测评、服务投标人选择等情况进行测评。</w:t>
      </w:r>
    </w:p>
    <w:p w:rsidR="00E23C81" w:rsidRPr="00E23C81" w:rsidRDefault="00E23C81" w:rsidP="00E23C81">
      <w:pPr>
        <w:numPr>
          <w:ilvl w:val="1"/>
          <w:numId w:val="4"/>
        </w:numPr>
        <w:tabs>
          <w:tab w:val="left" w:pos="567"/>
        </w:tabs>
        <w:spacing w:line="360" w:lineRule="auto"/>
        <w:ind w:leftChars="200" w:left="482" w:firstLine="0"/>
        <w:outlineLvl w:val="4"/>
        <w:rPr>
          <w:rFonts w:ascii="宋体" w:hAnsi="宋体" w:cs="宋体" w:hint="eastAsia"/>
          <w:b w:val="0"/>
          <w:bCs/>
          <w:szCs w:val="24"/>
        </w:rPr>
      </w:pPr>
      <w:bookmarkStart w:id="28" w:name="_Toc4424575"/>
      <w:proofErr w:type="gramStart"/>
      <w:r w:rsidRPr="00E23C81">
        <w:rPr>
          <w:rFonts w:ascii="宋体" w:hAnsi="宋体" w:cs="宋体" w:hint="eastAsia"/>
          <w:b w:val="0"/>
          <w:bCs/>
          <w:szCs w:val="24"/>
        </w:rPr>
        <w:t>安全运</w:t>
      </w:r>
      <w:proofErr w:type="gramEnd"/>
      <w:r w:rsidRPr="00E23C81">
        <w:rPr>
          <w:rFonts w:ascii="宋体" w:hAnsi="宋体" w:cs="宋体" w:hint="eastAsia"/>
          <w:b w:val="0"/>
          <w:bCs/>
          <w:szCs w:val="24"/>
        </w:rPr>
        <w:t>维管理</w:t>
      </w:r>
      <w:bookmarkEnd w:id="28"/>
    </w:p>
    <w:p w:rsidR="00E23C81" w:rsidRPr="00E23C81" w:rsidRDefault="00E23C81" w:rsidP="00E23C81">
      <w:pPr>
        <w:tabs>
          <w:tab w:val="left" w:pos="1080"/>
          <w:tab w:val="left" w:pos="1680"/>
        </w:tabs>
        <w:snapToGrid w:val="0"/>
        <w:spacing w:line="360" w:lineRule="auto"/>
        <w:ind w:firstLineChars="200" w:firstLine="480"/>
        <w:rPr>
          <w:rFonts w:ascii="宋体" w:hAnsi="宋体" w:cs="宋体" w:hint="eastAsia"/>
          <w:b w:val="0"/>
          <w:bCs/>
          <w:szCs w:val="24"/>
        </w:rPr>
      </w:pPr>
      <w:proofErr w:type="gramStart"/>
      <w:r w:rsidRPr="00E23C81">
        <w:rPr>
          <w:rFonts w:ascii="宋体" w:hAnsi="宋体" w:cs="宋体" w:hint="eastAsia"/>
          <w:b w:val="0"/>
          <w:bCs/>
          <w:szCs w:val="24"/>
        </w:rPr>
        <w:t>安全运维管理</w:t>
      </w:r>
      <w:proofErr w:type="gramEnd"/>
      <w:r w:rsidRPr="00E23C81">
        <w:rPr>
          <w:rFonts w:ascii="宋体" w:hAnsi="宋体" w:cs="宋体" w:hint="eastAsia"/>
          <w:b w:val="0"/>
          <w:bCs/>
          <w:szCs w:val="24"/>
        </w:rPr>
        <w:t>测评是对环境管理、资产管理、介质管理、设备维护管理、漏洞和风险管理、网络和系统安全管理、恶意代码防范管理、配置管理、密码管理、变更管理、备份与恢复管理、安全事件处置、 应急预案管理、外包运</w:t>
      </w:r>
      <w:proofErr w:type="gramStart"/>
      <w:r w:rsidRPr="00E23C81">
        <w:rPr>
          <w:rFonts w:ascii="宋体" w:hAnsi="宋体" w:cs="宋体" w:hint="eastAsia"/>
          <w:b w:val="0"/>
          <w:bCs/>
          <w:szCs w:val="24"/>
        </w:rPr>
        <w:t>维管理</w:t>
      </w:r>
      <w:proofErr w:type="gramEnd"/>
      <w:r w:rsidRPr="00E23C81">
        <w:rPr>
          <w:rFonts w:ascii="宋体" w:hAnsi="宋体" w:cs="宋体" w:hint="eastAsia"/>
          <w:b w:val="0"/>
          <w:bCs/>
          <w:szCs w:val="24"/>
        </w:rPr>
        <w:t>等情况进行测评。</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bookmarkStart w:id="29" w:name="_Toc53217159"/>
      <w:r w:rsidRPr="00E23C81">
        <w:rPr>
          <w:rFonts w:ascii="宋体" w:hAnsi="宋体" w:cs="宋体" w:hint="eastAsia"/>
          <w:b w:val="0"/>
          <w:bCs/>
          <w:kern w:val="0"/>
          <w:szCs w:val="24"/>
        </w:rPr>
        <w:t>6、报价要求</w:t>
      </w:r>
      <w:bookmarkEnd w:id="29"/>
    </w:p>
    <w:p w:rsidR="00E23C81" w:rsidRPr="00E23C81" w:rsidRDefault="00E23C81" w:rsidP="00E23C81">
      <w:pPr>
        <w:tabs>
          <w:tab w:val="left" w:pos="284"/>
        </w:tabs>
        <w:spacing w:line="360" w:lineRule="auto"/>
        <w:ind w:firstLineChars="200" w:firstLine="480"/>
        <w:jc w:val="left"/>
        <w:rPr>
          <w:rFonts w:ascii="宋体" w:hAnsi="宋体" w:cs="宋体" w:hint="eastAsia"/>
          <w:b w:val="0"/>
          <w:bCs/>
          <w:szCs w:val="24"/>
        </w:rPr>
      </w:pPr>
      <w:r w:rsidRPr="00E23C81">
        <w:rPr>
          <w:rFonts w:ascii="宋体" w:hAnsi="宋体" w:cs="宋体" w:hint="eastAsia"/>
          <w:b w:val="0"/>
          <w:bCs/>
          <w:szCs w:val="24"/>
        </w:rPr>
        <w:t>本项目报总价，报价包含完成本项目服务期间所产生的一切费用，招标人后期不再另行追加费用。</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bookmarkStart w:id="30" w:name="_Toc53217161"/>
      <w:r w:rsidRPr="00E23C81">
        <w:rPr>
          <w:rFonts w:ascii="宋体" w:hAnsi="宋体" w:cs="宋体" w:hint="eastAsia"/>
          <w:b w:val="0"/>
          <w:bCs/>
          <w:kern w:val="0"/>
          <w:szCs w:val="24"/>
        </w:rPr>
        <w:t>7、验收标准</w:t>
      </w:r>
      <w:bookmarkEnd w:id="30"/>
    </w:p>
    <w:p w:rsidR="00E23C81" w:rsidRPr="00E23C81" w:rsidRDefault="00E23C81" w:rsidP="00E23C81">
      <w:pPr>
        <w:pStyle w:val="Default"/>
        <w:spacing w:line="360" w:lineRule="auto"/>
        <w:ind w:firstLineChars="200" w:firstLine="480"/>
        <w:rPr>
          <w:rFonts w:hAnsi="宋体" w:hint="eastAsia"/>
          <w:bCs/>
          <w:color w:val="auto"/>
        </w:rPr>
      </w:pPr>
      <w:r w:rsidRPr="00E23C81">
        <w:rPr>
          <w:rFonts w:hAnsi="宋体" w:hint="eastAsia"/>
          <w:bCs/>
          <w:color w:val="auto"/>
        </w:rPr>
        <w:t>本项目服务的验收将以成交投标人提交《测评报告》并在公安部登记管理系统填报结果为准。</w:t>
      </w:r>
    </w:p>
    <w:p w:rsidR="00E23C81" w:rsidRPr="00E23C81" w:rsidRDefault="00E23C81" w:rsidP="00E23C81">
      <w:pPr>
        <w:widowControl/>
        <w:shd w:val="clear" w:color="auto" w:fill="FFFFFF"/>
        <w:spacing w:line="360" w:lineRule="auto"/>
        <w:jc w:val="left"/>
        <w:outlineLvl w:val="1"/>
        <w:rPr>
          <w:rFonts w:ascii="宋体" w:hAnsi="宋体" w:cs="宋体" w:hint="eastAsia"/>
          <w:b w:val="0"/>
          <w:bCs/>
          <w:kern w:val="0"/>
          <w:szCs w:val="24"/>
        </w:rPr>
      </w:pPr>
      <w:r w:rsidRPr="00E23C81">
        <w:rPr>
          <w:rFonts w:ascii="宋体" w:hAnsi="宋体" w:cs="宋体" w:hint="eastAsia"/>
          <w:b w:val="0"/>
          <w:bCs/>
          <w:kern w:val="0"/>
          <w:szCs w:val="24"/>
        </w:rPr>
        <w:t>7、其他要求</w:t>
      </w:r>
    </w:p>
    <w:p w:rsidR="00E23C81" w:rsidRPr="00E23C81" w:rsidRDefault="00E23C81" w:rsidP="00E23C81">
      <w:pPr>
        <w:pStyle w:val="Default"/>
        <w:spacing w:line="360" w:lineRule="auto"/>
        <w:ind w:firstLineChars="200" w:firstLine="480"/>
        <w:rPr>
          <w:rFonts w:hAnsi="宋体" w:hint="eastAsia"/>
          <w:bCs/>
          <w:color w:val="auto"/>
        </w:rPr>
      </w:pPr>
      <w:r w:rsidRPr="00E23C81">
        <w:rPr>
          <w:rFonts w:hAnsi="宋体" w:hint="eastAsia"/>
          <w:bCs/>
          <w:color w:val="auto"/>
        </w:rPr>
        <w:t>合同履行期限：3年。（采用1+1+1签约模式，合同一年一签，每年度测评开展前签订一次，如双方无异议，可续签下一年合同。）</w:t>
      </w:r>
    </w:p>
    <w:p w:rsidR="00E23C81" w:rsidRPr="00E23C81" w:rsidRDefault="00E23C81" w:rsidP="00E23C81">
      <w:pPr>
        <w:pStyle w:val="Default"/>
        <w:spacing w:line="360" w:lineRule="auto"/>
        <w:rPr>
          <w:rFonts w:hAnsi="宋体" w:hint="eastAsia"/>
          <w:bCs/>
          <w:color w:val="auto"/>
        </w:rPr>
      </w:pPr>
    </w:p>
    <w:p w:rsidR="00484C21" w:rsidRPr="00E23C81" w:rsidRDefault="00484C21"/>
    <w:sectPr w:rsidR="00484C21" w:rsidRPr="00E23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3FE"/>
    <w:multiLevelType w:val="multilevel"/>
    <w:tmpl w:val="041303FE"/>
    <w:lvl w:ilvl="0">
      <w:start w:val="1"/>
      <w:numFmt w:val="decimal"/>
      <w:suff w:val="space"/>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1F7203B5"/>
    <w:multiLevelType w:val="multilevel"/>
    <w:tmpl w:val="1F7203B5"/>
    <w:lvl w:ilvl="0">
      <w:start w:val="1"/>
      <w:numFmt w:val="decimal"/>
      <w:suff w:val="nothing"/>
      <w:lvlText w:val="（%1）"/>
      <w:lvlJc w:val="left"/>
      <w:pPr>
        <w:ind w:left="0" w:firstLine="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
    <w:nsid w:val="2A7C294E"/>
    <w:multiLevelType w:val="singleLevel"/>
    <w:tmpl w:val="2A7C294E"/>
    <w:lvl w:ilvl="0">
      <w:start w:val="5"/>
      <w:numFmt w:val="chineseCounting"/>
      <w:suff w:val="space"/>
      <w:lvlText w:val="第%1章"/>
      <w:lvlJc w:val="left"/>
      <w:rPr>
        <w:rFonts w:hint="eastAsia"/>
      </w:rPr>
    </w:lvl>
  </w:abstractNum>
  <w:abstractNum w:abstractNumId="3">
    <w:nsid w:val="6C792F9E"/>
    <w:multiLevelType w:val="multilevel"/>
    <w:tmpl w:val="6C792F9E"/>
    <w:lvl w:ilvl="0">
      <w:start w:val="1"/>
      <w:numFmt w:val="decimal"/>
      <w:lvlText w:val="%1"/>
      <w:lvlJc w:val="left"/>
      <w:pPr>
        <w:tabs>
          <w:tab w:val="num" w:pos="425"/>
        </w:tabs>
        <w:ind w:left="0" w:firstLine="0"/>
      </w:pPr>
      <w:rPr>
        <w:rFonts w:hint="eastAsia"/>
        <w:sz w:val="24"/>
        <w:szCs w:val="24"/>
      </w:rPr>
    </w:lvl>
    <w:lvl w:ilvl="1">
      <w:start w:val="1"/>
      <w:numFmt w:val="lowerLetter"/>
      <w:lvlText w:val="%2）"/>
      <w:lvlJc w:val="left"/>
      <w:pPr>
        <w:tabs>
          <w:tab w:val="num" w:pos="567"/>
        </w:tabs>
        <w:ind w:left="567" w:hanging="567"/>
      </w:pPr>
      <w:rPr>
        <w:rFonts w:hint="eastAsia"/>
        <w:sz w:val="24"/>
      </w:rPr>
    </w:lvl>
    <w:lvl w:ilvl="2">
      <w:start w:val="1"/>
      <w:numFmt w:val="decimal"/>
      <w:lvlText w:val="%1.%2.%3"/>
      <w:lvlJc w:val="left"/>
      <w:pPr>
        <w:tabs>
          <w:tab w:val="num" w:pos="851"/>
        </w:tabs>
        <w:ind w:left="851" w:hanging="709"/>
      </w:pPr>
      <w:rPr>
        <w:rFonts w:hint="eastAsia"/>
        <w:b w:val="0"/>
        <w:sz w:val="24"/>
        <w:szCs w:val="24"/>
      </w:rPr>
    </w:lvl>
    <w:lvl w:ilvl="3">
      <w:start w:val="1"/>
      <w:numFmt w:val="decimal"/>
      <w:lvlText w:val="%1.%2.%3.%4"/>
      <w:lvlJc w:val="left"/>
      <w:pPr>
        <w:tabs>
          <w:tab w:val="num" w:pos="851"/>
        </w:tabs>
        <w:ind w:left="851" w:hanging="851"/>
      </w:pPr>
      <w:rPr>
        <w:rFonts w:ascii="等线" w:eastAsia="等线" w:hAnsi="等线" w:hint="default"/>
        <w:b w:val="0"/>
        <w:i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81"/>
    <w:rsid w:val="00484C21"/>
    <w:rsid w:val="00E2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23C81"/>
    <w:pPr>
      <w:widowControl w:val="0"/>
      <w:jc w:val="both"/>
    </w:pPr>
    <w:rPr>
      <w:rFonts w:ascii="Times New Roman" w:eastAsia="宋体" w:hAnsi="Times New Roman" w:cs="Times New Roman"/>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uiPriority w:val="99"/>
    <w:qFormat/>
    <w:rsid w:val="00E23C81"/>
    <w:pPr>
      <w:ind w:firstLine="420"/>
    </w:pPr>
    <w:rPr>
      <w:rFonts w:eastAsia="仿宋"/>
      <w:b w:val="0"/>
      <w:caps/>
      <w:kern w:val="0"/>
      <w:sz w:val="32"/>
      <w:szCs w:val="32"/>
    </w:rPr>
  </w:style>
  <w:style w:type="character" w:customStyle="1" w:styleId="Char1">
    <w:name w:val="正文缩进 Char1"/>
    <w:link w:val="a3"/>
    <w:uiPriority w:val="99"/>
    <w:qFormat/>
    <w:rsid w:val="00E23C81"/>
    <w:rPr>
      <w:rFonts w:ascii="Times New Roman" w:eastAsia="仿宋" w:hAnsi="Times New Roman" w:cs="Times New Roman"/>
      <w:caps/>
      <w:kern w:val="0"/>
      <w:sz w:val="32"/>
      <w:szCs w:val="32"/>
    </w:rPr>
  </w:style>
  <w:style w:type="paragraph" w:styleId="a4">
    <w:name w:val="List Paragraph"/>
    <w:basedOn w:val="a"/>
    <w:link w:val="Char10"/>
    <w:uiPriority w:val="34"/>
    <w:qFormat/>
    <w:rsid w:val="00E23C81"/>
    <w:pPr>
      <w:ind w:firstLineChars="200" w:firstLine="420"/>
    </w:pPr>
    <w:rPr>
      <w:rFonts w:ascii="Calibri" w:hAnsi="Calibri" w:cs="Calibri"/>
      <w:b w:val="0"/>
      <w:sz w:val="21"/>
      <w:szCs w:val="21"/>
    </w:rPr>
  </w:style>
  <w:style w:type="character" w:customStyle="1" w:styleId="Char10">
    <w:name w:val="列出段落 Char1"/>
    <w:link w:val="a4"/>
    <w:uiPriority w:val="34"/>
    <w:qFormat/>
    <w:rsid w:val="00E23C81"/>
    <w:rPr>
      <w:rFonts w:ascii="Calibri" w:eastAsia="宋体" w:hAnsi="Calibri" w:cs="Calibri"/>
      <w:szCs w:val="21"/>
    </w:rPr>
  </w:style>
  <w:style w:type="paragraph" w:customStyle="1" w:styleId="Default">
    <w:name w:val="Default"/>
    <w:qFormat/>
    <w:rsid w:val="00E23C81"/>
    <w:pPr>
      <w:widowControl w:val="0"/>
      <w:autoSpaceDE w:val="0"/>
      <w:autoSpaceDN w:val="0"/>
      <w:adjustRightInd w:val="0"/>
    </w:pPr>
    <w:rPr>
      <w:rFonts w:ascii="宋体" w:eastAsia="宋体" w:hAnsi="Times New Roman" w:cs="宋体"/>
      <w:caps/>
      <w:color w:val="000000"/>
      <w:kern w:val="0"/>
      <w:sz w:val="24"/>
      <w:szCs w:val="24"/>
    </w:rPr>
  </w:style>
  <w:style w:type="paragraph" w:customStyle="1" w:styleId="3">
    <w:name w:val="国标3级"/>
    <w:basedOn w:val="a"/>
    <w:semiHidden/>
    <w:qFormat/>
    <w:rsid w:val="00E23C81"/>
    <w:pPr>
      <w:snapToGrid w:val="0"/>
      <w:spacing w:line="312" w:lineRule="exact"/>
    </w:pPr>
    <w:rPr>
      <w:rFonts w:ascii="宋体" w:hAnsi="宋体"/>
      <w:color w:val="000000"/>
      <w:sz w:val="21"/>
      <w:szCs w:val="22"/>
    </w:rPr>
  </w:style>
  <w:style w:type="paragraph" w:styleId="a5">
    <w:name w:val="Body Text Indent"/>
    <w:basedOn w:val="a"/>
    <w:link w:val="Char"/>
    <w:uiPriority w:val="99"/>
    <w:semiHidden/>
    <w:unhideWhenUsed/>
    <w:rsid w:val="00E23C81"/>
    <w:pPr>
      <w:spacing w:after="120"/>
      <w:ind w:leftChars="200" w:left="420"/>
    </w:pPr>
  </w:style>
  <w:style w:type="character" w:customStyle="1" w:styleId="Char">
    <w:name w:val="正文文本缩进 Char"/>
    <w:basedOn w:val="a0"/>
    <w:link w:val="a5"/>
    <w:uiPriority w:val="99"/>
    <w:semiHidden/>
    <w:rsid w:val="00E23C81"/>
    <w:rPr>
      <w:rFonts w:ascii="Times New Roman" w:eastAsia="宋体" w:hAnsi="Times New Roman" w:cs="Times New Roman"/>
      <w:b/>
      <w:sz w:val="24"/>
      <w:szCs w:val="18"/>
    </w:rPr>
  </w:style>
  <w:style w:type="paragraph" w:styleId="2">
    <w:name w:val="Body Text First Indent 2"/>
    <w:basedOn w:val="a5"/>
    <w:link w:val="2Char"/>
    <w:uiPriority w:val="99"/>
    <w:semiHidden/>
    <w:unhideWhenUsed/>
    <w:rsid w:val="00E23C81"/>
    <w:pPr>
      <w:ind w:firstLineChars="200" w:firstLine="420"/>
    </w:pPr>
  </w:style>
  <w:style w:type="character" w:customStyle="1" w:styleId="2Char">
    <w:name w:val="正文首行缩进 2 Char"/>
    <w:basedOn w:val="Char"/>
    <w:link w:val="2"/>
    <w:uiPriority w:val="99"/>
    <w:semiHidden/>
    <w:rsid w:val="00E23C81"/>
    <w:rPr>
      <w:rFonts w:ascii="Times New Roman" w:eastAsia="宋体" w:hAnsi="Times New Roman" w:cs="Times New Roman"/>
      <w:b/>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23C81"/>
    <w:pPr>
      <w:widowControl w:val="0"/>
      <w:jc w:val="both"/>
    </w:pPr>
    <w:rPr>
      <w:rFonts w:ascii="Times New Roman" w:eastAsia="宋体" w:hAnsi="Times New Roman" w:cs="Times New Roman"/>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uiPriority w:val="99"/>
    <w:qFormat/>
    <w:rsid w:val="00E23C81"/>
    <w:pPr>
      <w:ind w:firstLine="420"/>
    </w:pPr>
    <w:rPr>
      <w:rFonts w:eastAsia="仿宋"/>
      <w:b w:val="0"/>
      <w:caps/>
      <w:kern w:val="0"/>
      <w:sz w:val="32"/>
      <w:szCs w:val="32"/>
    </w:rPr>
  </w:style>
  <w:style w:type="character" w:customStyle="1" w:styleId="Char1">
    <w:name w:val="正文缩进 Char1"/>
    <w:link w:val="a3"/>
    <w:uiPriority w:val="99"/>
    <w:qFormat/>
    <w:rsid w:val="00E23C81"/>
    <w:rPr>
      <w:rFonts w:ascii="Times New Roman" w:eastAsia="仿宋" w:hAnsi="Times New Roman" w:cs="Times New Roman"/>
      <w:caps/>
      <w:kern w:val="0"/>
      <w:sz w:val="32"/>
      <w:szCs w:val="32"/>
    </w:rPr>
  </w:style>
  <w:style w:type="paragraph" w:styleId="a4">
    <w:name w:val="List Paragraph"/>
    <w:basedOn w:val="a"/>
    <w:link w:val="Char10"/>
    <w:uiPriority w:val="34"/>
    <w:qFormat/>
    <w:rsid w:val="00E23C81"/>
    <w:pPr>
      <w:ind w:firstLineChars="200" w:firstLine="420"/>
    </w:pPr>
    <w:rPr>
      <w:rFonts w:ascii="Calibri" w:hAnsi="Calibri" w:cs="Calibri"/>
      <w:b w:val="0"/>
      <w:sz w:val="21"/>
      <w:szCs w:val="21"/>
    </w:rPr>
  </w:style>
  <w:style w:type="character" w:customStyle="1" w:styleId="Char10">
    <w:name w:val="列出段落 Char1"/>
    <w:link w:val="a4"/>
    <w:uiPriority w:val="34"/>
    <w:qFormat/>
    <w:rsid w:val="00E23C81"/>
    <w:rPr>
      <w:rFonts w:ascii="Calibri" w:eastAsia="宋体" w:hAnsi="Calibri" w:cs="Calibri"/>
      <w:szCs w:val="21"/>
    </w:rPr>
  </w:style>
  <w:style w:type="paragraph" w:customStyle="1" w:styleId="Default">
    <w:name w:val="Default"/>
    <w:qFormat/>
    <w:rsid w:val="00E23C81"/>
    <w:pPr>
      <w:widowControl w:val="0"/>
      <w:autoSpaceDE w:val="0"/>
      <w:autoSpaceDN w:val="0"/>
      <w:adjustRightInd w:val="0"/>
    </w:pPr>
    <w:rPr>
      <w:rFonts w:ascii="宋体" w:eastAsia="宋体" w:hAnsi="Times New Roman" w:cs="宋体"/>
      <w:caps/>
      <w:color w:val="000000"/>
      <w:kern w:val="0"/>
      <w:sz w:val="24"/>
      <w:szCs w:val="24"/>
    </w:rPr>
  </w:style>
  <w:style w:type="paragraph" w:customStyle="1" w:styleId="3">
    <w:name w:val="国标3级"/>
    <w:basedOn w:val="a"/>
    <w:semiHidden/>
    <w:qFormat/>
    <w:rsid w:val="00E23C81"/>
    <w:pPr>
      <w:snapToGrid w:val="0"/>
      <w:spacing w:line="312" w:lineRule="exact"/>
    </w:pPr>
    <w:rPr>
      <w:rFonts w:ascii="宋体" w:hAnsi="宋体"/>
      <w:color w:val="000000"/>
      <w:sz w:val="21"/>
      <w:szCs w:val="22"/>
    </w:rPr>
  </w:style>
  <w:style w:type="paragraph" w:styleId="a5">
    <w:name w:val="Body Text Indent"/>
    <w:basedOn w:val="a"/>
    <w:link w:val="Char"/>
    <w:uiPriority w:val="99"/>
    <w:semiHidden/>
    <w:unhideWhenUsed/>
    <w:rsid w:val="00E23C81"/>
    <w:pPr>
      <w:spacing w:after="120"/>
      <w:ind w:leftChars="200" w:left="420"/>
    </w:pPr>
  </w:style>
  <w:style w:type="character" w:customStyle="1" w:styleId="Char">
    <w:name w:val="正文文本缩进 Char"/>
    <w:basedOn w:val="a0"/>
    <w:link w:val="a5"/>
    <w:uiPriority w:val="99"/>
    <w:semiHidden/>
    <w:rsid w:val="00E23C81"/>
    <w:rPr>
      <w:rFonts w:ascii="Times New Roman" w:eastAsia="宋体" w:hAnsi="Times New Roman" w:cs="Times New Roman"/>
      <w:b/>
      <w:sz w:val="24"/>
      <w:szCs w:val="18"/>
    </w:rPr>
  </w:style>
  <w:style w:type="paragraph" w:styleId="2">
    <w:name w:val="Body Text First Indent 2"/>
    <w:basedOn w:val="a5"/>
    <w:link w:val="2Char"/>
    <w:uiPriority w:val="99"/>
    <w:semiHidden/>
    <w:unhideWhenUsed/>
    <w:rsid w:val="00E23C81"/>
    <w:pPr>
      <w:ind w:firstLineChars="200" w:firstLine="420"/>
    </w:pPr>
  </w:style>
  <w:style w:type="character" w:customStyle="1" w:styleId="2Char">
    <w:name w:val="正文首行缩进 2 Char"/>
    <w:basedOn w:val="Char"/>
    <w:link w:val="2"/>
    <w:uiPriority w:val="99"/>
    <w:semiHidden/>
    <w:rsid w:val="00E23C81"/>
    <w:rPr>
      <w:rFonts w:ascii="Times New Roman" w:eastAsia="宋体" w:hAnsi="Times New Roman" w:cs="Times New Roman"/>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2025</Characters>
  <Application>Microsoft Office Word</Application>
  <DocSecurity>0</DocSecurity>
  <Lines>16</Lines>
  <Paragraphs>4</Paragraphs>
  <ScaleCrop>false</ScaleCrop>
  <Company>HP</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dc:creator>
  <cp:lastModifiedBy>35863</cp:lastModifiedBy>
  <cp:revision>1</cp:revision>
  <dcterms:created xsi:type="dcterms:W3CDTF">2024-09-23T02:19:00Z</dcterms:created>
  <dcterms:modified xsi:type="dcterms:W3CDTF">2024-09-23T02:20:00Z</dcterms:modified>
</cp:coreProperties>
</file>