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0" w:lineRule="atLeast"/>
        <w:ind w:left="0" w:right="0" w:firstLine="643"/>
        <w:jc w:val="center"/>
        <w:rPr>
          <w:rFonts w:ascii="微软雅黑" w:hAnsi="微软雅黑" w:eastAsia="微软雅黑" w:cs="微软雅黑"/>
          <w:i w:val="0"/>
          <w:iCs w:val="0"/>
          <w:caps w:val="0"/>
          <w:color w:val="333333"/>
          <w:spacing w:val="0"/>
          <w:sz w:val="24"/>
          <w:szCs w:val="24"/>
        </w:rPr>
      </w:pPr>
      <w:r>
        <w:rPr>
          <w:rFonts w:ascii="仿宋" w:hAnsi="仿宋" w:eastAsia="仿宋" w:cs="仿宋"/>
          <w:b/>
          <w:bCs/>
          <w:i w:val="0"/>
          <w:iCs w:val="0"/>
          <w:caps w:val="0"/>
          <w:color w:val="333333"/>
          <w:spacing w:val="0"/>
          <w:kern w:val="0"/>
          <w:sz w:val="48"/>
          <w:szCs w:val="48"/>
          <w:shd w:val="clear" w:fill="FFFFFF"/>
          <w:lang w:val="en-US" w:eastAsia="zh-CN" w:bidi="ar"/>
        </w:rPr>
        <w:t>曹山街道</w:t>
      </w:r>
      <w:r>
        <w:rPr>
          <w:rFonts w:hint="eastAsia" w:ascii="仿宋" w:hAnsi="仿宋" w:eastAsia="仿宋" w:cs="仿宋"/>
          <w:b/>
          <w:bCs/>
          <w:i w:val="0"/>
          <w:iCs w:val="0"/>
          <w:caps w:val="0"/>
          <w:color w:val="333333"/>
          <w:spacing w:val="0"/>
          <w:kern w:val="0"/>
          <w:sz w:val="48"/>
          <w:szCs w:val="48"/>
          <w:shd w:val="clear" w:fill="FFFFFF"/>
          <w:lang w:val="en-US" w:eastAsia="zh-CN" w:bidi="ar"/>
        </w:rPr>
        <w:t>2020年度政府信息公开工作年度报告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444444"/>
          <w:spacing w:val="0"/>
          <w:kern w:val="0"/>
          <w:sz w:val="32"/>
          <w:szCs w:val="32"/>
          <w:shd w:val="clear" w:fill="FFFFFF"/>
          <w:lang w:val="en-US" w:eastAsia="zh-CN" w:bidi="ar"/>
        </w:rPr>
        <w:t>本年度报告是根据《中华人民共和国政府信息公开条例》规定，由龙子湖区曹山街道办事处政务公开工作机构编制。全文包括概述，主动公开政府信息情况，依申请公开政府信息情况</w:t>
      </w: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政府信息公开的收费及减免情况,行政复议、行政诉讼情况,存在的主要问题及改进措施。本报告所列数据的统计期限自2020年1月1日起至2020年12月31日止。如对本年度报告有任何疑问，请与龙子湖区曹山街道办事处党政办公室联系。（地址：香榭兰庭菜市场对面曹山街道为民服务中心；邮编：233000；电话：0552－3028379；电子邮箱：</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"mailto:1099345105@qq.com"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5"/>
          <w:rFonts w:hint="eastAsia" w:ascii="仿宋_GB2312" w:hAnsi="微软雅黑" w:eastAsia="仿宋_GB2312" w:cs="仿宋_GB2312"/>
          <w:i w:val="0"/>
          <w:iCs w:val="0"/>
          <w:caps w:val="0"/>
          <w:color w:val="000000"/>
          <w:spacing w:val="0"/>
          <w:sz w:val="32"/>
          <w:szCs w:val="32"/>
          <w:u w:val="none"/>
          <w:shd w:val="clear" w:fill="FFFFFF"/>
        </w:rPr>
        <w:t>1099345105@qq.com</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444444"/>
          <w:spacing w:val="0"/>
          <w:kern w:val="0"/>
          <w:sz w:val="32"/>
          <w:szCs w:val="32"/>
          <w:shd w:val="clear" w:fill="FFFFFF"/>
          <w:vertAlign w:val="baseline"/>
          <w:lang w:val="en-US" w:eastAsia="zh-CN" w:bidi="ar"/>
        </w:rPr>
        <w:t>我街道严格按照《中华人民共和国政府信息公开条例》规定的主动公开信息范围，按要求发布或更新信息，部门职能信息、领导联系方式和行政许可等信息主要由相关部门负责定期整理汇总。截至2020年12月，从未出现影响或者可能影响社会稳定、扰乱社会管理秩序的虚假或者不完整的信息。截止2020年12月31日,信息公开目录管理系统统计共公开政府信息：404条，本年度社会公众关注程度最高的政府信息主要涉及：政府规范性文件、政府重点工作、民生公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（二）依申请公开情况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b w:val="0"/>
          <w:bCs w:val="0"/>
          <w:i w:val="0"/>
          <w:iCs w:val="0"/>
          <w:caps w:val="0"/>
          <w:color w:val="333333"/>
          <w:spacing w:val="0"/>
          <w:kern w:val="0"/>
          <w:sz w:val="32"/>
          <w:szCs w:val="32"/>
          <w:shd w:val="clear" w:fill="FFFFFF"/>
          <w:lang w:val="en-US" w:eastAsia="zh-CN" w:bidi="ar"/>
        </w:rPr>
        <w:t>2020年度我街道未受理依申请公开信息。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持续加大对我街道政府信息公开平台监督力度，通过信息管理动态调整机制及时调度，确保信息公开工作有序高质量开展。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进一步优化街道政府信息平台栏目设置，充分发挥决策、执行和结果、管理和服务、重点领域信息公开、政策解读、回应关切、新闻发布等栏目作用，确保信息不漏发、错发，为群众提供具有时效性、高质量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b/>
          <w:bCs/>
          <w:i w:val="0"/>
          <w:iCs w:val="0"/>
          <w:caps w:val="0"/>
          <w:color w:val="444444"/>
          <w:spacing w:val="0"/>
          <w:kern w:val="0"/>
          <w:sz w:val="32"/>
          <w:szCs w:val="32"/>
          <w:shd w:val="clear" w:fill="FFFFFF"/>
          <w:lang w:val="en-US" w:eastAsia="zh-CN" w:bidi="ar"/>
        </w:rPr>
        <w:t>1、完善工作机构，加强组织领导。</w:t>
      </w: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我街道高度重视政务公开工作，成立了以街道书记周如胜为组长，以党政办公室主任为副组长的政府信息公开指南和公开目录编制工作领导小组，负责组织、指导、协调、督促街道政府信息公开等工作。确定街道党政办公室为信息公开的牵头部门，负责街道信息公开工作的组织和协调，制定和完善街道信息公开目录和信息公开指南；在街道人事变动时，我街道及时调整政务公开工作领导小组，保证了政务公开工作的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b/>
          <w:bCs/>
          <w:i w:val="0"/>
          <w:iCs w:val="0"/>
          <w:caps w:val="0"/>
          <w:color w:val="444444"/>
          <w:spacing w:val="0"/>
          <w:kern w:val="0"/>
          <w:sz w:val="32"/>
          <w:szCs w:val="32"/>
          <w:shd w:val="clear" w:fill="FFFFFF"/>
          <w:lang w:val="en-US" w:eastAsia="zh-CN" w:bidi="ar"/>
        </w:rPr>
        <w:t>2、建立健全规章制度。</w:t>
      </w: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制定了《曹山街道办事处依申请公开规定及流程》、《曹山街道办事处政府信息发布审查制度》、《曹山街道办事处人民政府门户网站信息发布制度》、《曹山街道办事处电子政务网络安全管理制度》、《曹山街道办事处信息公开社会评议制度》、《曹山街道办事处政务公开评议暂行办法》等制度，加强和保障政府信息公开工作，为做好政府信息公开工作打下扎实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b/>
          <w:bCs/>
          <w:i w:val="0"/>
          <w:iCs w:val="0"/>
          <w:caps w:val="0"/>
          <w:color w:val="444444"/>
          <w:spacing w:val="0"/>
          <w:kern w:val="0"/>
          <w:sz w:val="32"/>
          <w:szCs w:val="32"/>
          <w:shd w:val="clear" w:fill="FFFFFF"/>
          <w:lang w:val="en-US" w:eastAsia="zh-CN" w:bidi="ar"/>
        </w:rPr>
        <w:t>3、增加政府信息公开方式，多渠道宣传政务公开工作。</w:t>
      </w: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利用政府信息公开平台，尽最大限度地把各部门、各方面的政策、法规、新闻动态及时通过平台对外公布，除信息网站上公布之外，需要查阅相关的文件依据等可以直接到我街道所属相关部门进行查阅。为扩大政府信息公开工作的影响，使社会公众进一步关注和参与政府信息公开工作，我街道充分利用电视、广播、报刊、墙报和互联网等多种方式、多种途径，广泛宣传《中华人民共和国政府信息公开条例》的重大意义，重点通过政府门户网站和部门子网站加强宣传，不断推进信息公开工作。街道信息公开的重点部门不断加快政府信息分类、梳理、编目进程，不断提高信息公开的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本年新</w:t>
            </w:r>
            <w:r>
              <w:rPr>
                <w:rFonts w:hint="eastAsia" w:ascii="仿宋_GB2312" w:hAnsi="微软雅黑" w:eastAsia="仿宋_GB2312" w:cs="仿宋_GB2312"/>
                <w:i w:val="0"/>
                <w:iCs w:val="0"/>
                <w:caps w:val="0"/>
                <w:color w:val="000000"/>
                <w:spacing w:val="0"/>
                <w:kern w:val="0"/>
                <w:sz w:val="32"/>
                <w:szCs w:val="32"/>
                <w:lang w:val="en-US" w:eastAsia="zh-CN" w:bidi="ar"/>
              </w:rPr>
              <w:br w:type="textWrapping"/>
            </w:r>
            <w:r>
              <w:rPr>
                <w:rFonts w:hint="eastAsia" w:ascii="仿宋_GB2312" w:hAnsi="微软雅黑" w:eastAsia="仿宋_GB2312" w:cs="仿宋_GB2312"/>
                <w:i w:val="0"/>
                <w:iCs w:val="0"/>
                <w:caps w:val="0"/>
                <w:color w:val="333333"/>
                <w:spacing w:val="0"/>
                <w:kern w:val="0"/>
                <w:sz w:val="32"/>
                <w:szCs w:val="32"/>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本年新</w:t>
            </w:r>
            <w:r>
              <w:rPr>
                <w:rFonts w:hint="eastAsia" w:ascii="仿宋_GB2312" w:hAnsi="微软雅黑" w:eastAsia="仿宋_GB2312" w:cs="仿宋_GB2312"/>
                <w:i w:val="0"/>
                <w:iCs w:val="0"/>
                <w:caps w:val="0"/>
                <w:color w:val="000000"/>
                <w:spacing w:val="0"/>
                <w:kern w:val="0"/>
                <w:sz w:val="32"/>
                <w:szCs w:val="32"/>
                <w:lang w:val="en-US" w:eastAsia="zh-CN" w:bidi="ar"/>
              </w:rPr>
              <w:br w:type="textWrapping"/>
            </w:r>
            <w:r>
              <w:rPr>
                <w:rFonts w:hint="eastAsia" w:ascii="仿宋_GB2312" w:hAnsi="微软雅黑" w:eastAsia="仿宋_GB2312" w:cs="仿宋_GB2312"/>
                <w:i w:val="0"/>
                <w:iCs w:val="0"/>
                <w:caps w:val="0"/>
                <w:color w:val="333333"/>
                <w:spacing w:val="0"/>
                <w:kern w:val="0"/>
                <w:sz w:val="32"/>
                <w:szCs w:val="32"/>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000000"/>
                <w:spacing w:val="0"/>
                <w:kern w:val="0"/>
                <w:sz w:val="32"/>
                <w:szCs w:val="32"/>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32"/>
                <w:szCs w:val="32"/>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default" w:ascii="黑体" w:hAnsi="黑体" w:eastAsia="黑体" w:cs="黑体"/>
          <w:b/>
          <w:bCs/>
          <w:i w:val="0"/>
          <w:iCs w:val="0"/>
          <w:caps w:val="0"/>
          <w:color w:val="000000"/>
          <w:spacing w:val="0"/>
          <w:kern w:val="0"/>
          <w:sz w:val="32"/>
          <w:szCs w:val="32"/>
          <w:shd w:val="clear" w:fill="FFFFFF"/>
          <w:vertAlign w:val="baseline"/>
          <w:lang w:val="en-US" w:eastAsia="zh-CN" w:bidi="ar"/>
        </w:rPr>
      </w:pPr>
      <w:r>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t>三、收到和处理政府信息公开申请情况</w:t>
      </w:r>
    </w:p>
    <w:tbl>
      <w:tblPr>
        <w:tblStyle w:val="3"/>
        <w:tblW w:w="104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5"/>
        <w:gridCol w:w="1126"/>
        <w:gridCol w:w="1994"/>
        <w:gridCol w:w="860"/>
        <w:gridCol w:w="936"/>
        <w:gridCol w:w="936"/>
        <w:gridCol w:w="936"/>
        <w:gridCol w:w="936"/>
        <w:gridCol w:w="847"/>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5"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（本列数据的勾稽关系为：第一项加第二项之和，等于第三项加第四项之和）</w:t>
            </w:r>
          </w:p>
        </w:tc>
        <w:tc>
          <w:tcPr>
            <w:tcW w:w="6389"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center"/>
              <w:rPr>
                <w:rFonts w:hint="default" w:ascii="Calibri" w:hAnsi="Calibri" w:cs="Calibri"/>
                <w:sz w:val="21"/>
                <w:szCs w:val="21"/>
              </w:rPr>
            </w:pPr>
            <w:r>
              <w:rPr>
                <w:rFonts w:hint="eastAsia" w:ascii="楷体" w:hAnsi="楷体" w:eastAsia="楷体" w:cs="楷体"/>
                <w:kern w:val="0"/>
                <w:sz w:val="30"/>
                <w:szCs w:val="3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自然人</w:t>
            </w:r>
          </w:p>
        </w:tc>
        <w:tc>
          <w:tcPr>
            <w:tcW w:w="4591"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法人或其他组织</w:t>
            </w:r>
          </w:p>
        </w:tc>
        <w:tc>
          <w:tcPr>
            <w:tcW w:w="93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8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商业企业</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科研机构</w:t>
            </w:r>
          </w:p>
        </w:tc>
        <w:tc>
          <w:tcPr>
            <w:tcW w:w="9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社会公益组织</w:t>
            </w:r>
          </w:p>
        </w:tc>
        <w:tc>
          <w:tcPr>
            <w:tcW w:w="93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法律服务机构</w:t>
            </w:r>
          </w:p>
        </w:tc>
        <w:tc>
          <w:tcPr>
            <w:tcW w:w="8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其他</w:t>
            </w:r>
          </w:p>
        </w:tc>
        <w:tc>
          <w:tcPr>
            <w:tcW w:w="93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08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一、本年新收政府信息公开申请数量</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宋体" w:hAnsi="宋体" w:eastAsia="宋体" w:cs="宋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408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二、上年结转政府信息公开申请数量</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6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r>
              <w:rPr>
                <w:rFonts w:hint="eastAsia" w:ascii="楷体" w:hAnsi="楷体" w:eastAsia="楷体" w:cs="楷体"/>
                <w:kern w:val="0"/>
                <w:sz w:val="30"/>
                <w:szCs w:val="30"/>
                <w:lang w:val="en-US" w:eastAsia="zh-CN" w:bidi="ar"/>
              </w:rPr>
              <w:t>三、本年度办理结果</w:t>
            </w:r>
          </w:p>
        </w:tc>
        <w:tc>
          <w:tcPr>
            <w:tcW w:w="31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（一）予以公开</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1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（二）部分公开（区分处理的，只计这一情形，不计其他情形）</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（三）不予公开</w:t>
            </w: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1.属于国家秘密</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2.其他法律行政法规禁止公开</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3.危及“三安全一稳定”</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4.保护第三方合法权益</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5.属于三类内部事务信息</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6.属于四类过程性信息</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7.属于行政执法案卷</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8.属于行政查询事项</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（四）无法提供</w:t>
            </w: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1.本机关不掌握相关政府信息</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2.没有现成信息需要另行制作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3.补正后申请内容仍不明确</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（五）不予处理</w:t>
            </w: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1.信访举报投诉类申请</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2.重复申请</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3.要求提供公开出版物</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4.无正当理由大量反复申请</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12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9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rPr>
                <w:rFonts w:hint="default" w:ascii="Calibri" w:hAnsi="Calibri" w:cs="Calibri"/>
                <w:sz w:val="21"/>
                <w:szCs w:val="21"/>
              </w:rPr>
            </w:pPr>
            <w:r>
              <w:rPr>
                <w:rFonts w:hint="eastAsia" w:ascii="楷体" w:hAnsi="楷体" w:eastAsia="楷体" w:cs="楷体"/>
                <w:kern w:val="0"/>
                <w:sz w:val="30"/>
                <w:szCs w:val="30"/>
                <w:lang w:val="en-US" w:eastAsia="zh-CN" w:bidi="ar"/>
              </w:rPr>
              <w:t>5.要求行政机关确认或重新出具已获取信息</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1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left"/>
              <w:rPr>
                <w:rFonts w:hint="default" w:ascii="Calibri" w:hAnsi="Calibri" w:cs="Calibri"/>
                <w:sz w:val="21"/>
                <w:szCs w:val="21"/>
              </w:rPr>
            </w:pPr>
            <w:r>
              <w:rPr>
                <w:rFonts w:hint="eastAsia" w:ascii="楷体" w:hAnsi="楷体" w:eastAsia="楷体" w:cs="楷体"/>
                <w:kern w:val="0"/>
                <w:sz w:val="30"/>
                <w:szCs w:val="30"/>
                <w:lang w:val="en-US" w:eastAsia="zh-CN" w:bidi="ar"/>
              </w:rPr>
              <w:t>（六）其他处理</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6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312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left"/>
              <w:rPr>
                <w:rFonts w:hint="default" w:ascii="Calibri" w:hAnsi="Calibri" w:cs="Calibri"/>
                <w:sz w:val="21"/>
                <w:szCs w:val="21"/>
              </w:rPr>
            </w:pPr>
            <w:r>
              <w:rPr>
                <w:rFonts w:hint="eastAsia" w:ascii="楷体" w:hAnsi="楷体" w:eastAsia="楷体" w:cs="楷体"/>
                <w:kern w:val="0"/>
                <w:sz w:val="30"/>
                <w:szCs w:val="30"/>
                <w:lang w:val="en-US" w:eastAsia="zh-CN" w:bidi="ar"/>
              </w:rPr>
              <w:t>（七）总计</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85"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left"/>
              <w:rPr>
                <w:rFonts w:hint="default" w:ascii="Calibri" w:hAnsi="Calibri" w:cs="Calibri"/>
                <w:sz w:val="21"/>
                <w:szCs w:val="21"/>
              </w:rPr>
            </w:pPr>
            <w:r>
              <w:rPr>
                <w:rFonts w:hint="eastAsia" w:ascii="楷体" w:hAnsi="楷体" w:eastAsia="楷体" w:cs="楷体"/>
                <w:kern w:val="0"/>
                <w:sz w:val="30"/>
                <w:szCs w:val="30"/>
                <w:lang w:val="en-US" w:eastAsia="zh-CN" w:bidi="ar"/>
              </w:rPr>
              <w:t>四、结转下年度继续办理</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8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c>
          <w:tcPr>
            <w:tcW w:w="9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right="0"/>
              <w:jc w:val="center"/>
              <w:rPr>
                <w:rFonts w:hint="default" w:ascii="Calibri" w:hAnsi="Calibri" w:cs="Calibri"/>
                <w:sz w:val="21"/>
                <w:szCs w:val="21"/>
              </w:rPr>
            </w:pPr>
            <w:r>
              <w:rPr>
                <w:rFonts w:hint="eastAsia" w:ascii="楷体" w:hAnsi="楷体" w:eastAsia="楷体" w:cs="楷体"/>
                <w:kern w:val="0"/>
                <w:sz w:val="30"/>
                <w:szCs w:val="30"/>
                <w:lang w:val="en-US" w:eastAsia="zh-CN" w:bidi="ar"/>
              </w:rPr>
              <w:t>0</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default" w:ascii="黑体" w:hAnsi="黑体" w:eastAsia="黑体" w:cs="黑体"/>
          <w:b/>
          <w:bCs/>
          <w:i w:val="0"/>
          <w:iCs w:val="0"/>
          <w:caps w:val="0"/>
          <w:color w:val="000000"/>
          <w:spacing w:val="0"/>
          <w:kern w:val="0"/>
          <w:sz w:val="32"/>
          <w:szCs w:val="32"/>
          <w:shd w:val="clear" w:fill="FFFFFF"/>
          <w:vertAlign w:val="baseline"/>
          <w:lang w:val="en-US" w:eastAsia="zh-CN" w:bidi="ar"/>
        </w:rPr>
      </w:pPr>
      <w:r>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t>四、政府信息公开行政复议、行政诉讼情况</w:t>
      </w:r>
    </w:p>
    <w:tbl>
      <w:tblPr>
        <w:tblStyle w:val="3"/>
        <w:tblpPr w:leftFromText="180" w:rightFromText="180" w:vertAnchor="text" w:horzAnchor="page" w:tblpXSpec="center" w:tblpY="610"/>
        <w:tblOverlap w:val="never"/>
        <w:tblW w:w="116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0"/>
        <w:gridCol w:w="666"/>
        <w:gridCol w:w="650"/>
        <w:gridCol w:w="734"/>
        <w:gridCol w:w="1016"/>
        <w:gridCol w:w="734"/>
        <w:gridCol w:w="783"/>
        <w:gridCol w:w="767"/>
        <w:gridCol w:w="766"/>
        <w:gridCol w:w="1012"/>
        <w:gridCol w:w="688"/>
        <w:gridCol w:w="700"/>
        <w:gridCol w:w="762"/>
        <w:gridCol w:w="67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06"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center"/>
              <w:rPr>
                <w:rFonts w:hint="default" w:ascii="Calibri" w:hAnsi="Calibri" w:cs="Calibri"/>
                <w:sz w:val="21"/>
                <w:szCs w:val="21"/>
              </w:rPr>
            </w:pPr>
            <w:r>
              <w:rPr>
                <w:rFonts w:ascii="楷_GB2312" w:hAnsi="楷_GB2312" w:eastAsia="楷_GB2312" w:cs="楷_GB2312"/>
                <w:sz w:val="30"/>
                <w:szCs w:val="30"/>
              </w:rPr>
              <w:t>行政复议</w:t>
            </w:r>
          </w:p>
        </w:tc>
        <w:tc>
          <w:tcPr>
            <w:tcW w:w="7875" w:type="dxa"/>
            <w:gridSpan w:val="10"/>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center"/>
              <w:rPr>
                <w:rFonts w:hint="default" w:ascii="Calibri" w:hAnsi="Calibri" w:cs="Calibri"/>
                <w:sz w:val="21"/>
                <w:szCs w:val="21"/>
              </w:rPr>
            </w:pPr>
            <w:r>
              <w:rPr>
                <w:rFonts w:hint="default" w:ascii="楷_GB2312" w:hAnsi="楷_GB2312" w:eastAsia="楷_GB2312" w:cs="楷_GB2312"/>
                <w:sz w:val="30"/>
                <w:szCs w:val="3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40" w:type="dxa"/>
            <w:vMerge w:val="restart"/>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结果维持</w:t>
            </w:r>
          </w:p>
        </w:tc>
        <w:tc>
          <w:tcPr>
            <w:tcW w:w="666" w:type="dxa"/>
            <w:vMerge w:val="restart"/>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结果纠正</w:t>
            </w:r>
          </w:p>
        </w:tc>
        <w:tc>
          <w:tcPr>
            <w:tcW w:w="650"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其他结果</w:t>
            </w:r>
          </w:p>
        </w:tc>
        <w:tc>
          <w:tcPr>
            <w:tcW w:w="734"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尚未审结</w:t>
            </w:r>
          </w:p>
        </w:tc>
        <w:tc>
          <w:tcPr>
            <w:tcW w:w="1016"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总计</w:t>
            </w:r>
          </w:p>
        </w:tc>
        <w:tc>
          <w:tcPr>
            <w:tcW w:w="4062"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center"/>
              <w:rPr>
                <w:rFonts w:hint="default" w:ascii="Calibri" w:hAnsi="Calibri" w:cs="Calibri"/>
                <w:sz w:val="21"/>
                <w:szCs w:val="21"/>
              </w:rPr>
            </w:pPr>
            <w:r>
              <w:rPr>
                <w:rFonts w:hint="default" w:ascii="楷_GB2312" w:hAnsi="楷_GB2312" w:eastAsia="楷_GB2312" w:cs="楷_GB2312"/>
                <w:sz w:val="30"/>
                <w:szCs w:val="30"/>
              </w:rPr>
              <w:t>未经复议直接起诉</w:t>
            </w:r>
          </w:p>
        </w:tc>
        <w:tc>
          <w:tcPr>
            <w:tcW w:w="3813"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600"/>
              <w:jc w:val="center"/>
              <w:rPr>
                <w:rFonts w:hint="default" w:ascii="Calibri" w:hAnsi="Calibri" w:cs="Calibri"/>
                <w:sz w:val="21"/>
                <w:szCs w:val="21"/>
              </w:rPr>
            </w:pPr>
            <w:r>
              <w:rPr>
                <w:rFonts w:hint="default" w:ascii="楷_GB2312" w:hAnsi="楷_GB2312" w:eastAsia="楷_GB2312" w:cs="楷_GB2312"/>
                <w:sz w:val="30"/>
                <w:szCs w:val="3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40" w:type="dxa"/>
            <w:vMerge w:val="continue"/>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66" w:type="dxa"/>
            <w:vMerge w:val="continue"/>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0"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34"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016"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34"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结果维持</w:t>
            </w:r>
          </w:p>
        </w:tc>
        <w:tc>
          <w:tcPr>
            <w:tcW w:w="783"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结果纠正</w:t>
            </w:r>
          </w:p>
        </w:tc>
        <w:tc>
          <w:tcPr>
            <w:tcW w:w="767"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其他结果</w:t>
            </w:r>
          </w:p>
        </w:tc>
        <w:tc>
          <w:tcPr>
            <w:tcW w:w="766"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尚未审结</w:t>
            </w:r>
          </w:p>
        </w:tc>
        <w:tc>
          <w:tcPr>
            <w:tcW w:w="1012"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color w:val="000000"/>
                <w:sz w:val="30"/>
                <w:szCs w:val="30"/>
              </w:rPr>
              <w:t>总计</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结果维持</w:t>
            </w:r>
          </w:p>
        </w:tc>
        <w:tc>
          <w:tcPr>
            <w:tcW w:w="70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结果纠正</w:t>
            </w:r>
          </w:p>
        </w:tc>
        <w:tc>
          <w:tcPr>
            <w:tcW w:w="762"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color w:val="000000"/>
                <w:sz w:val="30"/>
                <w:szCs w:val="30"/>
              </w:rPr>
              <w:t>其他结果</w:t>
            </w:r>
          </w:p>
        </w:tc>
        <w:tc>
          <w:tcPr>
            <w:tcW w:w="675"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尚未审结</w:t>
            </w:r>
          </w:p>
        </w:tc>
        <w:tc>
          <w:tcPr>
            <w:tcW w:w="9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color w:val="000000"/>
                <w:sz w:val="30"/>
                <w:szCs w:val="3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4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666"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34"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1016"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34"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83"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67"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66"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1012"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6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0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762"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675"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c>
          <w:tcPr>
            <w:tcW w:w="9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center"/>
              <w:rPr>
                <w:rFonts w:hint="default" w:ascii="Calibri" w:hAnsi="Calibri" w:cs="Calibri"/>
                <w:sz w:val="21"/>
                <w:szCs w:val="21"/>
              </w:rPr>
            </w:pPr>
            <w:r>
              <w:rPr>
                <w:rFonts w:hint="default" w:ascii="楷_GB2312" w:hAnsi="楷_GB2312" w:eastAsia="楷_GB2312" w:cs="楷_GB2312"/>
                <w:sz w:val="30"/>
                <w:szCs w:val="30"/>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both"/>
        <w:rPr>
          <w:rFonts w:hint="default" w:ascii="Calibri" w:hAnsi="Calibri" w:cs="Calibri"/>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textAlignment w:val="baseline"/>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pPr>
      <w:r>
        <w:rPr>
          <w:rFonts w:hint="eastAsia" w:ascii="黑体" w:hAnsi="黑体" w:eastAsia="黑体" w:cs="黑体"/>
          <w:b/>
          <w:bCs/>
          <w:i w:val="0"/>
          <w:iCs w:val="0"/>
          <w:caps w:val="0"/>
          <w:color w:val="000000"/>
          <w:spacing w:val="0"/>
          <w:kern w:val="0"/>
          <w:sz w:val="32"/>
          <w:szCs w:val="32"/>
          <w:shd w:val="clear" w:fill="FFFFFF"/>
          <w:vertAlign w:val="baseline"/>
          <w:lang w:val="en-US" w:eastAsia="zh-CN" w:bidi="ar"/>
        </w:rPr>
        <w:t>五、存在的主要问题及改进措施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（一）存在的主要问题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1、公开信息内容更新不够及时。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2、信息质量不高。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3"/>
        <w:jc w:val="both"/>
        <w:rPr>
          <w:rFonts w:hint="eastAsia" w:ascii="楷体" w:hAnsi="楷体" w:eastAsia="楷体" w:cs="楷体"/>
          <w:b w:val="0"/>
          <w:bCs w:val="0"/>
          <w:i w:val="0"/>
          <w:iCs w:val="0"/>
          <w:caps w:val="0"/>
          <w:color w:val="444444"/>
          <w:spacing w:val="0"/>
          <w:kern w:val="0"/>
          <w:sz w:val="32"/>
          <w:szCs w:val="32"/>
          <w:shd w:val="clear" w:fill="FFFFFF"/>
          <w:lang w:val="en-US" w:eastAsia="zh-CN" w:bidi="ar"/>
        </w:rPr>
      </w:pPr>
      <w:r>
        <w:rPr>
          <w:rFonts w:hint="eastAsia" w:ascii="楷体" w:hAnsi="楷体" w:eastAsia="楷体" w:cs="楷体"/>
          <w:b w:val="0"/>
          <w:bCs w:val="0"/>
          <w:i w:val="0"/>
          <w:iCs w:val="0"/>
          <w:caps w:val="0"/>
          <w:color w:val="444444"/>
          <w:spacing w:val="0"/>
          <w:kern w:val="0"/>
          <w:sz w:val="32"/>
          <w:szCs w:val="32"/>
          <w:shd w:val="clear" w:fill="FFFFFF"/>
          <w:lang w:val="en-US" w:eastAsia="zh-CN" w:bidi="ar"/>
        </w:rPr>
        <w:t>（二）改进措施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1、加大监督检查的力度，督促各政务公开单位及时、常态更新信息。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0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444444"/>
          <w:spacing w:val="0"/>
          <w:kern w:val="0"/>
          <w:sz w:val="32"/>
          <w:szCs w:val="32"/>
          <w:shd w:val="clear" w:fill="FFFFFF"/>
          <w:lang w:val="en-US" w:eastAsia="zh-CN" w:bidi="ar"/>
        </w:rPr>
        <w:t>2、完善信息公开制度建设，建立建全信息公开工作长效机制，把政府信息公开工作作为长期的动态工作落到实处，确保所公开信息的及时性、准确性和有效性。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_GB231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YTYwNGI2ODFhNzdiZTUzNWRhNWY3MzUyNGVkOTMifQ=="/>
  </w:docVars>
  <w:rsids>
    <w:rsidRoot w:val="00000000"/>
    <w:rsid w:val="03270854"/>
    <w:rsid w:val="05995DD7"/>
    <w:rsid w:val="15E53F36"/>
    <w:rsid w:val="418426C5"/>
    <w:rsid w:val="42B0625C"/>
    <w:rsid w:val="42E66FF0"/>
    <w:rsid w:val="4362229A"/>
    <w:rsid w:val="43DD46A1"/>
    <w:rsid w:val="45374BCA"/>
    <w:rsid w:val="54B605FA"/>
    <w:rsid w:val="5B2C40BB"/>
    <w:rsid w:val="60331DE9"/>
    <w:rsid w:val="6313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2024-01-30T09:05:00Z</dcterms:created>
  <dc:creator>Administrator</dc:creator>
  <cp:lastModifiedBy>Administrator</cp:lastModifiedBy>
  <dcterms:modified xsi:type="dcterms:W3CDTF">2024-01-31T01:16:54Z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0EE29449B87B468F9F13D69F5E2F443B_12</vt:lpwstr>
  </property>
</Properties>
</file>