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B54E0">
      <w:pPr>
        <w:rPr>
          <w:rFonts w:hint="eastAsia" w:ascii="仿宋_GB2312" w:hAnsi="仿宋_GB2312" w:eastAsia="仿宋_GB2312" w:cs="仿宋_GB2312"/>
          <w:color w:val="auto"/>
          <w:sz w:val="36"/>
          <w:szCs w:val="36"/>
          <w:lang w:val="en-US" w:eastAsia="zh-CN"/>
        </w:rPr>
      </w:pPr>
    </w:p>
    <w:p w14:paraId="51F07674">
      <w:pPr>
        <w:pStyle w:val="11"/>
        <w:rPr>
          <w:color w:val="auto"/>
        </w:rPr>
      </w:pPr>
    </w:p>
    <w:p w14:paraId="1941301F">
      <w:pPr>
        <w:rPr>
          <w:rFonts w:ascii="仿宋_GB2312" w:hAnsi="仿宋_GB2312" w:eastAsia="仿宋_GB2312" w:cs="仿宋_GB2312"/>
          <w:color w:val="auto"/>
          <w:sz w:val="36"/>
          <w:szCs w:val="36"/>
        </w:rPr>
      </w:pPr>
    </w:p>
    <w:p w14:paraId="14EFD8B0">
      <w:pPr>
        <w:rPr>
          <w:rFonts w:ascii="仿宋_GB2312" w:hAnsi="仿宋_GB2312" w:eastAsia="仿宋_GB2312" w:cs="仿宋_GB2312"/>
          <w:color w:val="auto"/>
          <w:sz w:val="36"/>
          <w:szCs w:val="36"/>
        </w:rPr>
      </w:pPr>
    </w:p>
    <w:p w14:paraId="2EFBA0AC">
      <w:pPr>
        <w:rPr>
          <w:rFonts w:ascii="仿宋_GB2312" w:hAnsi="仿宋_GB2312" w:eastAsia="仿宋_GB2312" w:cs="仿宋_GB2312"/>
          <w:color w:val="auto"/>
          <w:sz w:val="36"/>
          <w:szCs w:val="36"/>
        </w:rPr>
      </w:pPr>
    </w:p>
    <w:p w14:paraId="0FDA0417">
      <w:pPr>
        <w:rPr>
          <w:rFonts w:ascii="仿宋_GB2312" w:hAnsi="仿宋_GB2312" w:eastAsia="仿宋_GB2312" w:cs="仿宋_GB2312"/>
          <w:color w:val="auto"/>
          <w:sz w:val="36"/>
          <w:szCs w:val="36"/>
        </w:rPr>
      </w:pPr>
    </w:p>
    <w:p w14:paraId="4723C8FE">
      <w:pPr>
        <w:adjustRightInd w:val="0"/>
        <w:snapToGrid w:val="0"/>
        <w:jc w:val="center"/>
        <w:outlineLvl w:val="0"/>
        <w:rPr>
          <w:rFonts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46C772A6">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（污染影响类）</w:t>
      </w:r>
    </w:p>
    <w:p w14:paraId="40D94466">
      <w:pPr>
        <w:adjustRightInd w:val="0"/>
        <w:snapToGrid w:val="0"/>
        <w:spacing w:line="288" w:lineRule="auto"/>
        <w:jc w:val="center"/>
        <w:outlineLvl w:val="0"/>
        <w:rPr>
          <w:rFonts w:ascii="华文仿宋" w:hAnsi="华文仿宋" w:eastAsia="华文仿宋" w:cs="华文仿宋"/>
          <w:color w:val="auto"/>
          <w:kern w:val="44"/>
          <w:sz w:val="44"/>
          <w:szCs w:val="44"/>
        </w:rPr>
      </w:pPr>
    </w:p>
    <w:p w14:paraId="0BD8A8A5">
      <w:pPr>
        <w:jc w:val="center"/>
        <w:rPr>
          <w:rFonts w:eastAsia="仿宋"/>
          <w:color w:val="auto"/>
          <w:sz w:val="52"/>
          <w:szCs w:val="52"/>
        </w:rPr>
      </w:pPr>
    </w:p>
    <w:p w14:paraId="1D7DF618">
      <w:pPr>
        <w:ind w:firstLine="1040"/>
        <w:rPr>
          <w:rFonts w:eastAsia="仿宋"/>
          <w:color w:val="auto"/>
          <w:sz w:val="44"/>
          <w:szCs w:val="44"/>
        </w:rPr>
      </w:pPr>
    </w:p>
    <w:p w14:paraId="3FD60104">
      <w:pPr>
        <w:ind w:firstLine="1040"/>
        <w:rPr>
          <w:rFonts w:eastAsia="仿宋"/>
          <w:color w:val="auto"/>
          <w:sz w:val="44"/>
          <w:szCs w:val="44"/>
        </w:rPr>
      </w:pPr>
    </w:p>
    <w:p w14:paraId="40103C9D">
      <w:pPr>
        <w:ind w:firstLine="1040"/>
        <w:rPr>
          <w:rFonts w:eastAsia="仿宋"/>
          <w:color w:val="auto"/>
          <w:sz w:val="44"/>
          <w:szCs w:val="44"/>
        </w:rPr>
      </w:pPr>
    </w:p>
    <w:p w14:paraId="6F30F9CC">
      <w:pPr>
        <w:ind w:firstLine="1040"/>
        <w:rPr>
          <w:rFonts w:eastAsia="仿宋"/>
          <w:color w:val="auto"/>
          <w:sz w:val="44"/>
          <w:szCs w:val="44"/>
        </w:rPr>
      </w:pPr>
    </w:p>
    <w:p w14:paraId="73187BF9">
      <w:pPr>
        <w:adjustRightInd w:val="0"/>
        <w:snapToGrid w:val="0"/>
        <w:spacing w:line="288" w:lineRule="auto"/>
        <w:ind w:right="55" w:rightChars="26"/>
        <w:rPr>
          <w:rFonts w:ascii="仿宋_GB2312" w:eastAsia="仿宋_GB2312"/>
          <w:color w:val="auto"/>
          <w:sz w:val="36"/>
          <w:szCs w:val="36"/>
          <w:u w:val="single"/>
        </w:rPr>
      </w:pPr>
      <w:r>
        <w:rPr>
          <w:rFonts w:hint="eastAsia" w:ascii="仿宋_GB2312" w:eastAsia="仿宋_GB2312"/>
          <w:color w:val="auto"/>
          <w:sz w:val="36"/>
          <w:szCs w:val="36"/>
        </w:rPr>
        <w:t>项目名称</w:t>
      </w:r>
      <w:r>
        <w:rPr>
          <w:rFonts w:hint="default" w:ascii="仿宋_GB2312" w:eastAsia="仿宋_GB2312"/>
          <w:color w:val="auto"/>
          <w:sz w:val="36"/>
          <w:szCs w:val="36"/>
          <w:u w:val="single"/>
        </w:rPr>
        <w:t>：</w:t>
      </w:r>
      <w:r>
        <w:rPr>
          <w:rFonts w:hint="default" w:ascii="仿宋_GB2312" w:eastAsia="仿宋_GB2312"/>
          <w:color w:val="auto"/>
          <w:spacing w:val="0"/>
          <w:w w:val="100"/>
          <w:kern w:val="2"/>
          <w:sz w:val="36"/>
          <w:szCs w:val="36"/>
          <w:u w:val="single"/>
          <w:lang w:eastAsia="zh-CN"/>
        </w:rPr>
        <w:t>年产5000吨化妆品级抗紫外线球形复合功能填料生产线项目</w:t>
      </w:r>
      <w:r>
        <w:rPr>
          <w:rFonts w:hint="default"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p>
    <w:p w14:paraId="0C5841B9">
      <w:pPr>
        <w:adjustRightInd w:val="0"/>
        <w:snapToGrid w:val="0"/>
        <w:spacing w:line="288" w:lineRule="auto"/>
        <w:rPr>
          <w:rFonts w:ascii="仿宋_GB2312" w:eastAsia="仿宋_GB2312"/>
          <w:color w:val="auto"/>
          <w:sz w:val="36"/>
          <w:szCs w:val="36"/>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eastAsia="zh-CN"/>
        </w:rPr>
        <w:t>安徽中江材料科技有限公司</w:t>
      </w:r>
      <w:r>
        <w:rPr>
          <w:rFonts w:hint="eastAsia" w:ascii="仿宋_GB2312" w:eastAsia="仿宋_GB2312"/>
          <w:color w:val="auto"/>
          <w:sz w:val="36"/>
          <w:szCs w:val="36"/>
          <w:u w:val="single"/>
        </w:rPr>
        <w:t xml:space="preserve">                  </w:t>
      </w:r>
      <w:r>
        <w:rPr>
          <w:rFonts w:hint="eastAsia" w:ascii="仿宋_GB2312" w:eastAsia="仿宋_GB2312"/>
          <w:color w:val="auto"/>
          <w:sz w:val="36"/>
          <w:szCs w:val="36"/>
        </w:rPr>
        <w:t xml:space="preserve"> </w:t>
      </w:r>
    </w:p>
    <w:p w14:paraId="25E5074C">
      <w:pPr>
        <w:adjustRightInd w:val="0"/>
        <w:snapToGrid w:val="0"/>
        <w:spacing w:line="288" w:lineRule="auto"/>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2022年</w:t>
      </w:r>
      <w:r>
        <w:rPr>
          <w:rFonts w:hint="eastAsia" w:ascii="仿宋_GB2312" w:eastAsia="仿宋_GB2312"/>
          <w:color w:val="auto"/>
          <w:sz w:val="36"/>
          <w:szCs w:val="36"/>
          <w:u w:val="single"/>
          <w:lang w:val="en-US" w:eastAsia="zh-CN"/>
        </w:rPr>
        <w:t>9</w:t>
      </w:r>
      <w:r>
        <w:rPr>
          <w:rFonts w:hint="eastAsia" w:ascii="仿宋_GB2312" w:eastAsia="仿宋_GB2312"/>
          <w:color w:val="auto"/>
          <w:sz w:val="36"/>
          <w:szCs w:val="36"/>
          <w:u w:val="single"/>
        </w:rPr>
        <w:t>月</w:t>
      </w:r>
      <w:r>
        <w:rPr>
          <w:rFonts w:ascii="仿宋_GB2312" w:eastAsia="仿宋_GB2312"/>
          <w:color w:val="auto"/>
          <w:sz w:val="36"/>
          <w:szCs w:val="36"/>
          <w:u w:val="single"/>
        </w:rPr>
        <w:t xml:space="preserve">                </w:t>
      </w:r>
    </w:p>
    <w:p w14:paraId="6917E0A5">
      <w:pPr>
        <w:adjustRightInd w:val="0"/>
        <w:snapToGrid w:val="0"/>
        <w:spacing w:line="288" w:lineRule="auto"/>
        <w:ind w:firstLine="1040"/>
        <w:rPr>
          <w:rFonts w:ascii="仿宋_GB2312" w:eastAsia="仿宋_GB2312"/>
          <w:color w:val="auto"/>
          <w:sz w:val="36"/>
          <w:szCs w:val="36"/>
          <w:u w:val="single"/>
        </w:rPr>
      </w:pPr>
      <w:bookmarkStart w:id="0" w:name="_Hlk57884087"/>
    </w:p>
    <w:p w14:paraId="2AC171C1">
      <w:pPr>
        <w:adjustRightInd w:val="0"/>
        <w:snapToGrid w:val="0"/>
        <w:spacing w:line="288" w:lineRule="auto"/>
        <w:ind w:firstLine="1040"/>
        <w:rPr>
          <w:rFonts w:ascii="仿宋_GB2312" w:eastAsia="仿宋_GB2312"/>
          <w:color w:val="auto"/>
          <w:sz w:val="36"/>
          <w:szCs w:val="36"/>
        </w:rPr>
      </w:pPr>
    </w:p>
    <w:p w14:paraId="67282A8C">
      <w:pPr>
        <w:adjustRightInd w:val="0"/>
        <w:snapToGrid w:val="0"/>
        <w:spacing w:line="288" w:lineRule="auto"/>
        <w:ind w:firstLine="1040"/>
        <w:rPr>
          <w:rFonts w:ascii="仿宋_GB2312" w:eastAsia="仿宋_GB2312"/>
          <w:color w:val="auto"/>
          <w:sz w:val="36"/>
          <w:szCs w:val="36"/>
        </w:rPr>
      </w:pPr>
    </w:p>
    <w:p w14:paraId="56D2D87B">
      <w:pPr>
        <w:adjustRightInd w:val="0"/>
        <w:snapToGrid w:val="0"/>
        <w:spacing w:line="288" w:lineRule="auto"/>
        <w:ind w:firstLine="1040"/>
        <w:rPr>
          <w:rFonts w:ascii="仿宋_GB2312" w:eastAsia="仿宋_GB2312"/>
          <w:color w:val="auto"/>
          <w:sz w:val="36"/>
          <w:szCs w:val="36"/>
        </w:rPr>
      </w:pPr>
    </w:p>
    <w:bookmarkEnd w:id="0"/>
    <w:p w14:paraId="6A79A7CD">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5DADCE8C">
      <w:pPr>
        <w:adjustRightInd w:val="0"/>
        <w:snapToGrid w:val="0"/>
        <w:spacing w:line="288" w:lineRule="auto"/>
        <w:jc w:val="center"/>
        <w:rPr>
          <w:rFonts w:ascii="楷体_GB2312" w:eastAsia="楷体_GB2312"/>
          <w:color w:val="auto"/>
          <w:sz w:val="36"/>
          <w:szCs w:val="36"/>
        </w:rPr>
      </w:pPr>
      <w:r>
        <w:rPr>
          <w:rFonts w:ascii="楷体_GB2312" w:eastAsia="楷体_GB2312"/>
          <w:color w:val="auto"/>
          <w:sz w:val="36"/>
          <w:szCs w:val="36"/>
        </w:rPr>
        <w:br w:type="page"/>
      </w:r>
    </w:p>
    <w:p w14:paraId="05F00310">
      <w:pPr>
        <w:adjustRightInd w:val="0"/>
        <w:snapToGrid w:val="0"/>
        <w:spacing w:line="288" w:lineRule="auto"/>
        <w:ind w:firstLine="1040"/>
        <w:rPr>
          <w:rFonts w:ascii="仿宋_GB2312" w:eastAsia="仿宋_GB2312"/>
          <w:color w:val="auto"/>
          <w:sz w:val="36"/>
          <w:szCs w:val="36"/>
        </w:rPr>
      </w:pPr>
    </w:p>
    <w:p w14:paraId="5113B702">
      <w:pPr>
        <w:rPr>
          <w:rFonts w:ascii="仿宋_GB2312" w:eastAsia="仿宋_GB2312"/>
          <w:color w:val="auto"/>
          <w:sz w:val="36"/>
          <w:szCs w:val="36"/>
        </w:rPr>
      </w:pPr>
    </w:p>
    <w:p w14:paraId="6ABACC55">
      <w:pPr>
        <w:rPr>
          <w:rFonts w:ascii="仿宋_GB2312" w:eastAsia="仿宋_GB2312"/>
          <w:color w:val="auto"/>
          <w:sz w:val="36"/>
          <w:szCs w:val="36"/>
        </w:rPr>
      </w:pPr>
    </w:p>
    <w:p w14:paraId="7EFC3DE2">
      <w:pPr>
        <w:rPr>
          <w:rFonts w:ascii="仿宋_GB2312" w:eastAsia="仿宋_GB2312"/>
          <w:color w:val="auto"/>
          <w:sz w:val="36"/>
          <w:szCs w:val="36"/>
        </w:rPr>
      </w:pPr>
    </w:p>
    <w:p w14:paraId="628CDA31">
      <w:pPr>
        <w:rPr>
          <w:rFonts w:ascii="仿宋_GB2312" w:eastAsia="仿宋_GB2312"/>
          <w:color w:val="auto"/>
          <w:sz w:val="36"/>
          <w:szCs w:val="36"/>
        </w:rPr>
      </w:pPr>
    </w:p>
    <w:p w14:paraId="6B3B1050">
      <w:pPr>
        <w:rPr>
          <w:rFonts w:ascii="仿宋_GB2312" w:eastAsia="仿宋_GB2312"/>
          <w:color w:val="auto"/>
          <w:sz w:val="36"/>
          <w:szCs w:val="36"/>
        </w:rPr>
      </w:pPr>
    </w:p>
    <w:p w14:paraId="1FEA4FCB">
      <w:pPr>
        <w:rPr>
          <w:rFonts w:ascii="仿宋_GB2312" w:eastAsia="仿宋_GB2312"/>
          <w:color w:val="auto"/>
          <w:sz w:val="36"/>
          <w:szCs w:val="36"/>
        </w:rPr>
      </w:pPr>
    </w:p>
    <w:p w14:paraId="602F863E">
      <w:pPr>
        <w:rPr>
          <w:rFonts w:ascii="仿宋_GB2312" w:eastAsia="仿宋_GB2312"/>
          <w:color w:val="auto"/>
          <w:sz w:val="36"/>
          <w:szCs w:val="36"/>
        </w:rPr>
      </w:pPr>
    </w:p>
    <w:p w14:paraId="73DF8816">
      <w:pPr>
        <w:rPr>
          <w:rFonts w:ascii="仿宋_GB2312" w:eastAsia="仿宋_GB2312"/>
          <w:color w:val="auto"/>
          <w:sz w:val="36"/>
          <w:szCs w:val="36"/>
        </w:rPr>
      </w:pPr>
    </w:p>
    <w:p w14:paraId="6581F3E7">
      <w:pPr>
        <w:tabs>
          <w:tab w:val="left" w:pos="5310"/>
        </w:tabs>
        <w:rPr>
          <w:rFonts w:ascii="仿宋_GB2312" w:eastAsia="仿宋_GB2312"/>
          <w:color w:val="auto"/>
          <w:sz w:val="36"/>
          <w:szCs w:val="36"/>
        </w:rPr>
      </w:pPr>
      <w:r>
        <w:rPr>
          <w:rFonts w:ascii="仿宋_GB2312" w:eastAsia="仿宋_GB2312"/>
          <w:color w:val="auto"/>
          <w:sz w:val="36"/>
          <w:szCs w:val="36"/>
        </w:rPr>
        <w:tab/>
      </w:r>
    </w:p>
    <w:p w14:paraId="72E00DCB">
      <w:pPr>
        <w:rPr>
          <w:rFonts w:ascii="仿宋_GB2312" w:eastAsia="仿宋_GB2312"/>
          <w:color w:val="auto"/>
          <w:sz w:val="36"/>
          <w:szCs w:val="36"/>
        </w:rPr>
      </w:pPr>
    </w:p>
    <w:p w14:paraId="36B6B89D">
      <w:pPr>
        <w:rPr>
          <w:rFonts w:ascii="仿宋_GB2312" w:eastAsia="仿宋_GB2312"/>
          <w:color w:val="auto"/>
          <w:sz w:val="36"/>
          <w:szCs w:val="36"/>
        </w:rPr>
        <w:sectPr>
          <w:headerReference r:id="rId3" w:type="default"/>
          <w:footerReference r:id="rId4" w:type="default"/>
          <w:footerReference r:id="rId5" w:type="even"/>
          <w:pgSz w:w="11906" w:h="16838"/>
          <w:pgMar w:top="1701" w:right="1531" w:bottom="1701" w:left="1531" w:header="851" w:footer="1077" w:gutter="0"/>
          <w:pgNumType w:start="3"/>
          <w:cols w:space="720" w:num="1"/>
          <w:docGrid w:linePitch="312" w:charSpace="0"/>
        </w:sectPr>
      </w:pPr>
    </w:p>
    <w:p w14:paraId="48B6E0C9">
      <w:pPr>
        <w:widowControl/>
        <w:tabs>
          <w:tab w:val="left" w:pos="3555"/>
        </w:tabs>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一、建设项目基本情况</w:t>
      </w:r>
    </w:p>
    <w:tbl>
      <w:tblPr>
        <w:tblStyle w:val="26"/>
        <w:tblW w:w="8626" w:type="dxa"/>
        <w:jc w:val="righ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17"/>
        <w:gridCol w:w="2311"/>
        <w:gridCol w:w="2225"/>
        <w:gridCol w:w="1973"/>
      </w:tblGrid>
      <w:tr w14:paraId="4E9A31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266602C2">
            <w:pPr>
              <w:adjustRightInd w:val="0"/>
              <w:snapToGrid w:val="0"/>
              <w:jc w:val="center"/>
              <w:rPr>
                <w:color w:val="auto"/>
                <w:sz w:val="24"/>
              </w:rPr>
            </w:pPr>
            <w:r>
              <w:rPr>
                <w:color w:val="auto"/>
                <w:sz w:val="24"/>
              </w:rPr>
              <w:t>建设项目名称</w:t>
            </w:r>
          </w:p>
        </w:tc>
        <w:tc>
          <w:tcPr>
            <w:tcW w:w="3772" w:type="pct"/>
            <w:gridSpan w:val="3"/>
            <w:vAlign w:val="center"/>
          </w:tcPr>
          <w:p w14:paraId="4754F046">
            <w:pPr>
              <w:adjustRightInd w:val="0"/>
              <w:snapToGrid w:val="0"/>
              <w:jc w:val="center"/>
              <w:rPr>
                <w:rFonts w:hint="eastAsia" w:eastAsia="宋体"/>
                <w:color w:val="auto"/>
                <w:sz w:val="24"/>
                <w:lang w:eastAsia="zh-CN"/>
              </w:rPr>
            </w:pPr>
            <w:r>
              <w:rPr>
                <w:rFonts w:hint="eastAsia"/>
                <w:color w:val="auto"/>
                <w:sz w:val="24"/>
                <w:lang w:eastAsia="zh-CN"/>
              </w:rPr>
              <w:t>安徽中江材料科技有限公司年产5000吨化妆品级抗紫外线球形复合功能填料生产线项目</w:t>
            </w:r>
          </w:p>
        </w:tc>
      </w:tr>
      <w:tr w14:paraId="517C11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71EACFC2">
            <w:pPr>
              <w:adjustRightInd w:val="0"/>
              <w:snapToGrid w:val="0"/>
              <w:jc w:val="center"/>
              <w:rPr>
                <w:color w:val="auto"/>
                <w:sz w:val="24"/>
              </w:rPr>
            </w:pPr>
            <w:r>
              <w:rPr>
                <w:color w:val="auto"/>
                <w:sz w:val="24"/>
              </w:rPr>
              <w:t>项目代码</w:t>
            </w:r>
          </w:p>
        </w:tc>
        <w:tc>
          <w:tcPr>
            <w:tcW w:w="3772" w:type="pct"/>
            <w:gridSpan w:val="3"/>
            <w:vAlign w:val="center"/>
          </w:tcPr>
          <w:p w14:paraId="294777D0">
            <w:pPr>
              <w:adjustRightInd w:val="0"/>
              <w:snapToGrid w:val="0"/>
              <w:jc w:val="center"/>
              <w:rPr>
                <w:color w:val="auto"/>
                <w:sz w:val="24"/>
              </w:rPr>
            </w:pPr>
            <w:r>
              <w:rPr>
                <w:rFonts w:hint="eastAsia"/>
                <w:color w:val="auto"/>
                <w:sz w:val="24"/>
              </w:rPr>
              <w:t>2205-340302-04-01-843346</w:t>
            </w:r>
          </w:p>
        </w:tc>
      </w:tr>
      <w:tr w14:paraId="05CD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6" w:hRule="atLeast"/>
          <w:jc w:val="right"/>
        </w:trPr>
        <w:tc>
          <w:tcPr>
            <w:tcW w:w="1227" w:type="pct"/>
            <w:tcMar>
              <w:top w:w="16" w:type="dxa"/>
              <w:left w:w="16" w:type="dxa"/>
              <w:right w:w="16" w:type="dxa"/>
            </w:tcMar>
            <w:vAlign w:val="center"/>
          </w:tcPr>
          <w:p w14:paraId="60181B50">
            <w:pPr>
              <w:adjustRightInd w:val="0"/>
              <w:snapToGrid w:val="0"/>
              <w:jc w:val="center"/>
              <w:rPr>
                <w:color w:val="auto"/>
                <w:sz w:val="24"/>
              </w:rPr>
            </w:pPr>
            <w:r>
              <w:rPr>
                <w:color w:val="auto"/>
                <w:sz w:val="24"/>
              </w:rPr>
              <w:t>建设单位联系人</w:t>
            </w:r>
          </w:p>
        </w:tc>
        <w:tc>
          <w:tcPr>
            <w:tcW w:w="1339" w:type="pct"/>
            <w:vAlign w:val="center"/>
          </w:tcPr>
          <w:p w14:paraId="29298EDC">
            <w:pPr>
              <w:adjustRightInd w:val="0"/>
              <w:snapToGrid w:val="0"/>
              <w:jc w:val="center"/>
              <w:rPr>
                <w:color w:val="auto"/>
                <w:sz w:val="24"/>
              </w:rPr>
            </w:pPr>
            <w:r>
              <w:rPr>
                <w:rFonts w:hint="eastAsia"/>
                <w:color w:val="auto"/>
                <w:sz w:val="24"/>
              </w:rPr>
              <w:t>陈爱君</w:t>
            </w:r>
          </w:p>
        </w:tc>
        <w:tc>
          <w:tcPr>
            <w:tcW w:w="1289" w:type="pct"/>
            <w:vAlign w:val="center"/>
          </w:tcPr>
          <w:p w14:paraId="23ED80E3">
            <w:pPr>
              <w:adjustRightInd w:val="0"/>
              <w:snapToGrid w:val="0"/>
              <w:jc w:val="center"/>
              <w:rPr>
                <w:color w:val="auto"/>
                <w:sz w:val="24"/>
              </w:rPr>
            </w:pPr>
            <w:r>
              <w:rPr>
                <w:color w:val="auto"/>
                <w:sz w:val="24"/>
              </w:rPr>
              <w:t>联系方式</w:t>
            </w:r>
          </w:p>
        </w:tc>
        <w:tc>
          <w:tcPr>
            <w:tcW w:w="1143" w:type="pct"/>
            <w:vAlign w:val="center"/>
          </w:tcPr>
          <w:p w14:paraId="280863F4">
            <w:pPr>
              <w:adjustRightInd w:val="0"/>
              <w:snapToGrid w:val="0"/>
              <w:jc w:val="center"/>
              <w:rPr>
                <w:color w:val="auto"/>
                <w:sz w:val="24"/>
              </w:rPr>
            </w:pPr>
            <w:bookmarkStart w:id="1" w:name="_Hlk104278790"/>
            <w:r>
              <w:rPr>
                <w:rFonts w:hint="eastAsia"/>
                <w:color w:val="auto"/>
                <w:sz w:val="24"/>
              </w:rPr>
              <w:t>13812169979</w:t>
            </w:r>
            <w:bookmarkEnd w:id="1"/>
          </w:p>
        </w:tc>
      </w:tr>
      <w:tr w14:paraId="67316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04C80ABC">
            <w:pPr>
              <w:adjustRightInd w:val="0"/>
              <w:snapToGrid w:val="0"/>
              <w:jc w:val="center"/>
              <w:rPr>
                <w:color w:val="auto"/>
                <w:sz w:val="24"/>
              </w:rPr>
            </w:pPr>
            <w:r>
              <w:rPr>
                <w:color w:val="auto"/>
                <w:sz w:val="24"/>
              </w:rPr>
              <w:t>建设地点</w:t>
            </w:r>
          </w:p>
        </w:tc>
        <w:tc>
          <w:tcPr>
            <w:tcW w:w="3772" w:type="pct"/>
            <w:gridSpan w:val="3"/>
            <w:vAlign w:val="center"/>
          </w:tcPr>
          <w:p w14:paraId="3D850C7C">
            <w:pPr>
              <w:adjustRightInd w:val="0"/>
              <w:snapToGrid w:val="0"/>
              <w:jc w:val="center"/>
              <w:rPr>
                <w:rFonts w:hint="eastAsia" w:eastAsia="宋体"/>
                <w:color w:val="auto"/>
                <w:sz w:val="24"/>
                <w:lang w:eastAsia="zh-CN"/>
              </w:rPr>
            </w:pPr>
            <w:r>
              <w:rPr>
                <w:rFonts w:hint="eastAsia"/>
                <w:color w:val="auto"/>
                <w:sz w:val="24"/>
              </w:rPr>
              <w:t>安徽省蚌埠市龙子湖区高铁</w:t>
            </w:r>
            <w:r>
              <w:rPr>
                <w:rFonts w:hint="eastAsia"/>
                <w:color w:val="auto"/>
                <w:sz w:val="24"/>
                <w:lang w:eastAsia="zh-CN"/>
              </w:rPr>
              <w:t>工</w:t>
            </w:r>
            <w:r>
              <w:rPr>
                <w:rFonts w:hint="eastAsia"/>
                <w:color w:val="auto"/>
                <w:sz w:val="24"/>
              </w:rPr>
              <w:t>贸园胜利路9</w:t>
            </w:r>
            <w:r>
              <w:rPr>
                <w:rFonts w:hint="eastAsia"/>
                <w:color w:val="auto"/>
                <w:sz w:val="24"/>
                <w:lang w:eastAsia="zh-CN"/>
              </w:rPr>
              <w:t>号</w:t>
            </w:r>
          </w:p>
        </w:tc>
      </w:tr>
      <w:tr w14:paraId="06A03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16F0197E">
            <w:pPr>
              <w:adjustRightInd w:val="0"/>
              <w:snapToGrid w:val="0"/>
              <w:jc w:val="center"/>
              <w:rPr>
                <w:color w:val="auto"/>
                <w:sz w:val="24"/>
              </w:rPr>
            </w:pPr>
            <w:r>
              <w:rPr>
                <w:color w:val="auto"/>
                <w:sz w:val="24"/>
              </w:rPr>
              <w:t>地理坐标</w:t>
            </w:r>
          </w:p>
        </w:tc>
        <w:tc>
          <w:tcPr>
            <w:tcW w:w="3772" w:type="pct"/>
            <w:gridSpan w:val="3"/>
            <w:vAlign w:val="center"/>
          </w:tcPr>
          <w:p w14:paraId="1EA3FE48">
            <w:pPr>
              <w:jc w:val="center"/>
              <w:rPr>
                <w:color w:val="auto"/>
                <w:sz w:val="24"/>
              </w:rPr>
            </w:pPr>
            <w:r>
              <w:rPr>
                <w:color w:val="auto"/>
                <w:sz w:val="24"/>
              </w:rPr>
              <w:t>（</w:t>
            </w:r>
            <w:r>
              <w:rPr>
                <w:rFonts w:hint="eastAsia"/>
                <w:color w:val="auto"/>
                <w:sz w:val="24"/>
              </w:rPr>
              <w:t>117度28分</w:t>
            </w:r>
            <w:r>
              <w:rPr>
                <w:rFonts w:hint="eastAsia"/>
                <w:color w:val="auto"/>
                <w:sz w:val="24"/>
                <w:lang w:val="en-US" w:eastAsia="zh-CN"/>
              </w:rPr>
              <w:t>47</w:t>
            </w:r>
            <w:r>
              <w:rPr>
                <w:rFonts w:hint="eastAsia"/>
                <w:color w:val="auto"/>
                <w:sz w:val="24"/>
              </w:rPr>
              <w:t>.</w:t>
            </w:r>
            <w:r>
              <w:rPr>
                <w:rFonts w:hint="eastAsia"/>
                <w:color w:val="auto"/>
                <w:sz w:val="24"/>
                <w:lang w:val="en-US" w:eastAsia="zh-CN"/>
              </w:rPr>
              <w:t>342</w:t>
            </w:r>
            <w:r>
              <w:rPr>
                <w:rFonts w:hint="eastAsia"/>
                <w:color w:val="auto"/>
                <w:sz w:val="24"/>
              </w:rPr>
              <w:t>秒</w:t>
            </w:r>
            <w:r>
              <w:rPr>
                <w:color w:val="auto"/>
                <w:sz w:val="24"/>
              </w:rPr>
              <w:t>，</w:t>
            </w:r>
            <w:r>
              <w:rPr>
                <w:rFonts w:hint="eastAsia"/>
                <w:color w:val="auto"/>
                <w:sz w:val="24"/>
              </w:rPr>
              <w:t>32度5</w:t>
            </w:r>
            <w:r>
              <w:rPr>
                <w:rFonts w:hint="eastAsia"/>
                <w:color w:val="auto"/>
                <w:sz w:val="24"/>
                <w:lang w:val="en-US" w:eastAsia="zh-CN"/>
              </w:rPr>
              <w:t>5</w:t>
            </w:r>
            <w:r>
              <w:rPr>
                <w:rFonts w:hint="eastAsia"/>
                <w:color w:val="auto"/>
                <w:sz w:val="24"/>
              </w:rPr>
              <w:t>分</w:t>
            </w:r>
            <w:r>
              <w:rPr>
                <w:rFonts w:hint="eastAsia"/>
                <w:color w:val="auto"/>
                <w:sz w:val="24"/>
                <w:lang w:val="en-US" w:eastAsia="zh-CN"/>
              </w:rPr>
              <w:t>8</w:t>
            </w:r>
            <w:r>
              <w:rPr>
                <w:rFonts w:hint="eastAsia"/>
                <w:color w:val="auto"/>
                <w:sz w:val="24"/>
              </w:rPr>
              <w:t>.</w:t>
            </w:r>
            <w:r>
              <w:rPr>
                <w:rFonts w:hint="eastAsia"/>
                <w:color w:val="auto"/>
                <w:sz w:val="24"/>
                <w:lang w:val="en-US" w:eastAsia="zh-CN"/>
              </w:rPr>
              <w:t>962</w:t>
            </w:r>
            <w:r>
              <w:rPr>
                <w:rFonts w:hint="eastAsia"/>
                <w:color w:val="auto"/>
                <w:sz w:val="24"/>
              </w:rPr>
              <w:t>秒</w:t>
            </w:r>
            <w:r>
              <w:rPr>
                <w:color w:val="auto"/>
                <w:sz w:val="24"/>
              </w:rPr>
              <w:t>）</w:t>
            </w:r>
          </w:p>
        </w:tc>
      </w:tr>
      <w:tr w14:paraId="7D20A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27AF5AE9">
            <w:pPr>
              <w:adjustRightInd w:val="0"/>
              <w:snapToGrid w:val="0"/>
              <w:jc w:val="center"/>
              <w:rPr>
                <w:color w:val="auto"/>
                <w:sz w:val="24"/>
              </w:rPr>
            </w:pPr>
            <w:r>
              <w:rPr>
                <w:color w:val="auto"/>
                <w:sz w:val="24"/>
              </w:rPr>
              <w:t>国民经济</w:t>
            </w:r>
          </w:p>
          <w:p w14:paraId="6B7A5C80">
            <w:pPr>
              <w:adjustRightInd w:val="0"/>
              <w:snapToGrid w:val="0"/>
              <w:jc w:val="center"/>
              <w:rPr>
                <w:color w:val="auto"/>
                <w:sz w:val="24"/>
              </w:rPr>
            </w:pPr>
            <w:r>
              <w:rPr>
                <w:color w:val="auto"/>
                <w:sz w:val="24"/>
              </w:rPr>
              <w:t>行业类别</w:t>
            </w:r>
          </w:p>
        </w:tc>
        <w:tc>
          <w:tcPr>
            <w:tcW w:w="1339" w:type="pct"/>
            <w:vAlign w:val="center"/>
          </w:tcPr>
          <w:p w14:paraId="0A656822">
            <w:pPr>
              <w:adjustRightInd w:val="0"/>
              <w:snapToGrid w:val="0"/>
              <w:jc w:val="center"/>
              <w:rPr>
                <w:rFonts w:hint="eastAsia" w:eastAsia="宋体"/>
                <w:color w:val="auto"/>
                <w:sz w:val="24"/>
                <w:lang w:eastAsia="zh-CN"/>
              </w:rPr>
            </w:pPr>
            <w:r>
              <w:rPr>
                <w:snapToGrid w:val="0"/>
                <w:color w:val="auto"/>
                <w:kern w:val="0"/>
                <w:sz w:val="24"/>
              </w:rPr>
              <w:t>C3</w:t>
            </w:r>
            <w:r>
              <w:rPr>
                <w:rFonts w:hint="eastAsia"/>
                <w:snapToGrid w:val="0"/>
                <w:color w:val="auto"/>
                <w:kern w:val="0"/>
                <w:sz w:val="24"/>
                <w:lang w:val="en-US" w:eastAsia="zh-CN"/>
              </w:rPr>
              <w:t>099</w:t>
            </w:r>
            <w:r>
              <w:rPr>
                <w:snapToGrid w:val="0"/>
                <w:color w:val="auto"/>
                <w:kern w:val="0"/>
                <w:sz w:val="24"/>
              </w:rPr>
              <w:t xml:space="preserve"> </w:t>
            </w:r>
            <w:r>
              <w:rPr>
                <w:rFonts w:hint="eastAsia"/>
                <w:snapToGrid w:val="0"/>
                <w:color w:val="auto"/>
                <w:kern w:val="0"/>
                <w:sz w:val="24"/>
              </w:rPr>
              <w:t>其他非金属矿物制品制造</w:t>
            </w:r>
          </w:p>
        </w:tc>
        <w:tc>
          <w:tcPr>
            <w:tcW w:w="1289" w:type="pct"/>
            <w:vAlign w:val="center"/>
          </w:tcPr>
          <w:p w14:paraId="01A71B86">
            <w:pPr>
              <w:adjustRightInd w:val="0"/>
              <w:snapToGrid w:val="0"/>
              <w:jc w:val="center"/>
              <w:rPr>
                <w:color w:val="auto"/>
                <w:sz w:val="24"/>
              </w:rPr>
            </w:pPr>
            <w:bookmarkStart w:id="2" w:name="_Hlk49843745"/>
            <w:r>
              <w:rPr>
                <w:color w:val="auto"/>
                <w:sz w:val="24"/>
              </w:rPr>
              <w:t>建设项目</w:t>
            </w:r>
          </w:p>
          <w:p w14:paraId="5EAC9174">
            <w:pPr>
              <w:adjustRightInd w:val="0"/>
              <w:snapToGrid w:val="0"/>
              <w:jc w:val="center"/>
              <w:rPr>
                <w:color w:val="auto"/>
                <w:sz w:val="24"/>
              </w:rPr>
            </w:pPr>
            <w:r>
              <w:rPr>
                <w:color w:val="auto"/>
                <w:sz w:val="24"/>
              </w:rPr>
              <w:t>行业类别</w:t>
            </w:r>
            <w:bookmarkEnd w:id="2"/>
          </w:p>
        </w:tc>
        <w:tc>
          <w:tcPr>
            <w:tcW w:w="1143" w:type="pct"/>
            <w:vAlign w:val="center"/>
          </w:tcPr>
          <w:p w14:paraId="483DE423">
            <w:pPr>
              <w:adjustRightInd w:val="0"/>
              <w:snapToGrid w:val="0"/>
              <w:jc w:val="center"/>
              <w:rPr>
                <w:color w:val="auto"/>
                <w:sz w:val="24"/>
              </w:rPr>
            </w:pPr>
            <w:r>
              <w:rPr>
                <w:rFonts w:hint="eastAsia"/>
                <w:color w:val="auto"/>
                <w:sz w:val="24"/>
              </w:rPr>
              <w:t xml:space="preserve">二十七、非金属矿物制品业 </w:t>
            </w:r>
            <w:r>
              <w:rPr>
                <w:color w:val="auto"/>
                <w:sz w:val="24"/>
              </w:rPr>
              <w:t>3</w:t>
            </w:r>
            <w:r>
              <w:rPr>
                <w:rFonts w:hint="eastAsia"/>
                <w:color w:val="auto"/>
                <w:sz w:val="24"/>
                <w:lang w:val="en-US" w:eastAsia="zh-CN"/>
              </w:rPr>
              <w:t>0</w:t>
            </w:r>
            <w:r>
              <w:rPr>
                <w:color w:val="auto"/>
                <w:sz w:val="24"/>
              </w:rPr>
              <w:t xml:space="preserve"> – 6</w:t>
            </w:r>
            <w:r>
              <w:rPr>
                <w:rFonts w:hint="eastAsia"/>
                <w:color w:val="auto"/>
                <w:sz w:val="24"/>
                <w:lang w:val="en-US" w:eastAsia="zh-CN"/>
              </w:rPr>
              <w:t>0</w:t>
            </w:r>
            <w:r>
              <w:rPr>
                <w:color w:val="auto"/>
                <w:sz w:val="24"/>
              </w:rPr>
              <w:t xml:space="preserve"> </w:t>
            </w:r>
            <w:r>
              <w:rPr>
                <w:rFonts w:hint="eastAsia"/>
                <w:color w:val="auto"/>
                <w:sz w:val="24"/>
              </w:rPr>
              <w:t>石墨及其他非金 属矿物制品制造 309</w:t>
            </w:r>
            <w:r>
              <w:rPr>
                <w:color w:val="auto"/>
                <w:sz w:val="24"/>
              </w:rPr>
              <w:t xml:space="preserve"> -其他</w:t>
            </w:r>
          </w:p>
        </w:tc>
      </w:tr>
      <w:tr w14:paraId="51DDC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4C2C6655">
            <w:pPr>
              <w:adjustRightInd w:val="0"/>
              <w:snapToGrid w:val="0"/>
              <w:jc w:val="center"/>
              <w:rPr>
                <w:color w:val="auto"/>
                <w:sz w:val="24"/>
              </w:rPr>
            </w:pPr>
            <w:r>
              <w:rPr>
                <w:color w:val="auto"/>
                <w:sz w:val="24"/>
              </w:rPr>
              <w:t>建设性质</w:t>
            </w:r>
          </w:p>
        </w:tc>
        <w:tc>
          <w:tcPr>
            <w:tcW w:w="1339" w:type="pct"/>
            <w:vAlign w:val="center"/>
          </w:tcPr>
          <w:p w14:paraId="70BA0B29">
            <w:pPr>
              <w:jc w:val="left"/>
              <w:rPr>
                <w:color w:val="auto"/>
                <w:sz w:val="24"/>
              </w:rPr>
            </w:pPr>
            <w:r>
              <w:rPr>
                <w:color w:val="auto"/>
                <w:sz w:val="24"/>
              </w:rPr>
              <w:t>■新建（迁建）</w:t>
            </w:r>
          </w:p>
          <w:p w14:paraId="5B410662">
            <w:pPr>
              <w:jc w:val="left"/>
              <w:rPr>
                <w:color w:val="auto"/>
                <w:sz w:val="24"/>
              </w:rPr>
            </w:pPr>
            <w:r>
              <w:rPr>
                <w:color w:val="auto"/>
                <w:sz w:val="24"/>
              </w:rPr>
              <w:t>□改建</w:t>
            </w:r>
          </w:p>
          <w:p w14:paraId="3A0D39CA">
            <w:pPr>
              <w:jc w:val="left"/>
              <w:rPr>
                <w:color w:val="auto"/>
                <w:sz w:val="24"/>
              </w:rPr>
            </w:pPr>
            <w:r>
              <w:rPr>
                <w:color w:val="auto"/>
                <w:sz w:val="24"/>
              </w:rPr>
              <w:t>□扩建</w:t>
            </w:r>
          </w:p>
          <w:p w14:paraId="7D696659">
            <w:pPr>
              <w:jc w:val="left"/>
              <w:rPr>
                <w:color w:val="auto"/>
                <w:sz w:val="24"/>
              </w:rPr>
            </w:pPr>
            <w:r>
              <w:rPr>
                <w:color w:val="auto"/>
                <w:sz w:val="24"/>
              </w:rPr>
              <w:t>□技术改造</w:t>
            </w:r>
          </w:p>
        </w:tc>
        <w:tc>
          <w:tcPr>
            <w:tcW w:w="1289" w:type="pct"/>
            <w:vAlign w:val="center"/>
          </w:tcPr>
          <w:p w14:paraId="06C575E4">
            <w:pPr>
              <w:adjustRightInd w:val="0"/>
              <w:snapToGrid w:val="0"/>
              <w:jc w:val="center"/>
              <w:rPr>
                <w:color w:val="auto"/>
                <w:sz w:val="24"/>
              </w:rPr>
            </w:pPr>
            <w:r>
              <w:rPr>
                <w:color w:val="auto"/>
                <w:sz w:val="24"/>
              </w:rPr>
              <w:t>建设项目</w:t>
            </w:r>
          </w:p>
          <w:p w14:paraId="719AC55E">
            <w:pPr>
              <w:adjustRightInd w:val="0"/>
              <w:snapToGrid w:val="0"/>
              <w:jc w:val="center"/>
              <w:rPr>
                <w:color w:val="auto"/>
                <w:sz w:val="24"/>
              </w:rPr>
            </w:pPr>
            <w:r>
              <w:rPr>
                <w:color w:val="auto"/>
                <w:sz w:val="24"/>
              </w:rPr>
              <w:t>申报情形</w:t>
            </w:r>
          </w:p>
        </w:tc>
        <w:tc>
          <w:tcPr>
            <w:tcW w:w="1143" w:type="pct"/>
            <w:vAlign w:val="center"/>
          </w:tcPr>
          <w:p w14:paraId="755065BD">
            <w:pPr>
              <w:jc w:val="left"/>
              <w:rPr>
                <w:color w:val="auto"/>
                <w:sz w:val="24"/>
              </w:rPr>
            </w:pPr>
            <w:r>
              <w:rPr>
                <w:color w:val="auto"/>
                <w:sz w:val="24"/>
              </w:rPr>
              <w:t xml:space="preserve">■首次申报项目             </w:t>
            </w:r>
          </w:p>
          <w:p w14:paraId="57EAEA38">
            <w:pPr>
              <w:jc w:val="left"/>
              <w:rPr>
                <w:color w:val="auto"/>
                <w:sz w:val="24"/>
              </w:rPr>
            </w:pPr>
            <w:r>
              <w:rPr>
                <w:color w:val="auto"/>
                <w:sz w:val="24"/>
              </w:rPr>
              <w:t>□不予批准后再次申报项目</w:t>
            </w:r>
          </w:p>
          <w:p w14:paraId="5926006E">
            <w:pPr>
              <w:jc w:val="left"/>
              <w:rPr>
                <w:color w:val="auto"/>
                <w:sz w:val="24"/>
              </w:rPr>
            </w:pPr>
            <w:r>
              <w:rPr>
                <w:color w:val="auto"/>
                <w:sz w:val="24"/>
              </w:rPr>
              <w:t xml:space="preserve">□超五年重新审核项目     </w:t>
            </w:r>
          </w:p>
          <w:p w14:paraId="164B2E1E">
            <w:pPr>
              <w:jc w:val="left"/>
              <w:rPr>
                <w:color w:val="auto"/>
                <w:sz w:val="24"/>
              </w:rPr>
            </w:pPr>
            <w:r>
              <w:rPr>
                <w:color w:val="auto"/>
                <w:sz w:val="24"/>
              </w:rPr>
              <w:t>□重大变动重新报批项目</w:t>
            </w:r>
          </w:p>
        </w:tc>
      </w:tr>
      <w:tr w14:paraId="71F83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50D394C3">
            <w:pPr>
              <w:adjustRightInd w:val="0"/>
              <w:snapToGrid w:val="0"/>
              <w:jc w:val="center"/>
              <w:rPr>
                <w:color w:val="auto"/>
                <w:sz w:val="24"/>
              </w:rPr>
            </w:pPr>
            <w:r>
              <w:rPr>
                <w:color w:val="auto"/>
                <w:sz w:val="24"/>
              </w:rPr>
              <w:t>项目审批（核准/备案）部门（选填）</w:t>
            </w:r>
          </w:p>
        </w:tc>
        <w:tc>
          <w:tcPr>
            <w:tcW w:w="1339" w:type="pct"/>
            <w:vAlign w:val="center"/>
          </w:tcPr>
          <w:p w14:paraId="52F00C89">
            <w:pPr>
              <w:adjustRightInd w:val="0"/>
              <w:snapToGrid w:val="0"/>
              <w:jc w:val="center"/>
              <w:rPr>
                <w:color w:val="auto"/>
                <w:sz w:val="24"/>
              </w:rPr>
            </w:pPr>
            <w:r>
              <w:rPr>
                <w:color w:val="auto"/>
                <w:sz w:val="24"/>
              </w:rPr>
              <w:t>蚌埠市</w:t>
            </w:r>
            <w:r>
              <w:rPr>
                <w:rFonts w:hint="eastAsia"/>
                <w:color w:val="auto"/>
                <w:sz w:val="24"/>
              </w:rPr>
              <w:t>龙子湖区发展和</w:t>
            </w:r>
            <w:r>
              <w:rPr>
                <w:color w:val="auto"/>
                <w:sz w:val="24"/>
              </w:rPr>
              <w:t>改革委员会</w:t>
            </w:r>
          </w:p>
        </w:tc>
        <w:tc>
          <w:tcPr>
            <w:tcW w:w="1289" w:type="pct"/>
            <w:vAlign w:val="center"/>
          </w:tcPr>
          <w:p w14:paraId="655F6094">
            <w:pPr>
              <w:adjustRightInd w:val="0"/>
              <w:snapToGrid w:val="0"/>
              <w:jc w:val="center"/>
              <w:rPr>
                <w:color w:val="auto"/>
                <w:sz w:val="24"/>
              </w:rPr>
            </w:pPr>
            <w:r>
              <w:rPr>
                <w:color w:val="auto"/>
                <w:sz w:val="24"/>
              </w:rPr>
              <w:t>项目审批（核准/</w:t>
            </w:r>
          </w:p>
          <w:p w14:paraId="57F54896">
            <w:pPr>
              <w:adjustRightInd w:val="0"/>
              <w:snapToGrid w:val="0"/>
              <w:jc w:val="center"/>
              <w:rPr>
                <w:color w:val="auto"/>
                <w:sz w:val="24"/>
              </w:rPr>
            </w:pPr>
            <w:r>
              <w:rPr>
                <w:color w:val="auto"/>
                <w:sz w:val="24"/>
              </w:rPr>
              <w:t>备案）文号（选填）</w:t>
            </w:r>
          </w:p>
        </w:tc>
        <w:tc>
          <w:tcPr>
            <w:tcW w:w="1143" w:type="pct"/>
            <w:vAlign w:val="center"/>
          </w:tcPr>
          <w:p w14:paraId="0093E01F">
            <w:pPr>
              <w:adjustRightInd w:val="0"/>
              <w:snapToGrid w:val="0"/>
              <w:jc w:val="center"/>
              <w:rPr>
                <w:color w:val="auto"/>
                <w:sz w:val="24"/>
              </w:rPr>
            </w:pPr>
            <w:r>
              <w:rPr>
                <w:color w:val="auto"/>
                <w:sz w:val="24"/>
              </w:rPr>
              <w:t>/</w:t>
            </w:r>
          </w:p>
        </w:tc>
      </w:tr>
      <w:tr w14:paraId="18383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52449E3A">
            <w:pPr>
              <w:adjustRightInd w:val="0"/>
              <w:snapToGrid w:val="0"/>
              <w:jc w:val="center"/>
              <w:rPr>
                <w:color w:val="auto"/>
                <w:sz w:val="24"/>
              </w:rPr>
            </w:pPr>
            <w:r>
              <w:rPr>
                <w:color w:val="auto"/>
                <w:sz w:val="24"/>
              </w:rPr>
              <w:t>总投资（万元）</w:t>
            </w:r>
          </w:p>
        </w:tc>
        <w:tc>
          <w:tcPr>
            <w:tcW w:w="1339" w:type="pct"/>
            <w:vAlign w:val="center"/>
          </w:tcPr>
          <w:p w14:paraId="506BB06B">
            <w:pPr>
              <w:adjustRightInd w:val="0"/>
              <w:snapToGrid w:val="0"/>
              <w:jc w:val="center"/>
              <w:rPr>
                <w:rFonts w:hint="default" w:eastAsia="宋体"/>
                <w:color w:val="auto"/>
                <w:sz w:val="24"/>
                <w:lang w:val="en-US" w:eastAsia="zh-CN"/>
              </w:rPr>
            </w:pPr>
            <w:r>
              <w:rPr>
                <w:rFonts w:hint="eastAsia"/>
                <w:color w:val="auto"/>
                <w:sz w:val="24"/>
                <w:lang w:val="en-US" w:eastAsia="zh-CN"/>
              </w:rPr>
              <w:t>3200</w:t>
            </w:r>
          </w:p>
        </w:tc>
        <w:tc>
          <w:tcPr>
            <w:tcW w:w="1289" w:type="pct"/>
            <w:tcMar>
              <w:top w:w="16" w:type="dxa"/>
              <w:left w:w="16" w:type="dxa"/>
              <w:right w:w="16" w:type="dxa"/>
            </w:tcMar>
            <w:vAlign w:val="center"/>
          </w:tcPr>
          <w:p w14:paraId="5FA751DC">
            <w:pPr>
              <w:adjustRightInd w:val="0"/>
              <w:snapToGrid w:val="0"/>
              <w:jc w:val="center"/>
              <w:rPr>
                <w:color w:val="auto"/>
                <w:sz w:val="24"/>
              </w:rPr>
            </w:pPr>
            <w:r>
              <w:rPr>
                <w:color w:val="auto"/>
                <w:sz w:val="24"/>
              </w:rPr>
              <w:t>环保投资（万元）</w:t>
            </w:r>
          </w:p>
        </w:tc>
        <w:tc>
          <w:tcPr>
            <w:tcW w:w="1143" w:type="pct"/>
            <w:vAlign w:val="center"/>
          </w:tcPr>
          <w:p w14:paraId="3A5469DC">
            <w:pPr>
              <w:adjustRightInd w:val="0"/>
              <w:snapToGrid w:val="0"/>
              <w:jc w:val="center"/>
              <w:rPr>
                <w:color w:val="auto"/>
                <w:sz w:val="24"/>
              </w:rPr>
            </w:pPr>
            <w:r>
              <w:rPr>
                <w:rFonts w:hint="eastAsia"/>
                <w:color w:val="auto"/>
                <w:sz w:val="24"/>
                <w:lang w:val="en-US" w:eastAsia="zh-CN"/>
              </w:rPr>
              <w:t>32</w:t>
            </w:r>
          </w:p>
        </w:tc>
      </w:tr>
      <w:tr w14:paraId="2F0AB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6202CF26">
            <w:pPr>
              <w:adjustRightInd w:val="0"/>
              <w:snapToGrid w:val="0"/>
              <w:ind w:right="-155" w:rightChars="-74"/>
              <w:jc w:val="center"/>
              <w:rPr>
                <w:color w:val="auto"/>
                <w:sz w:val="24"/>
              </w:rPr>
            </w:pPr>
            <w:r>
              <w:rPr>
                <w:color w:val="auto"/>
                <w:sz w:val="24"/>
              </w:rPr>
              <w:t>环保投资占比（%）</w:t>
            </w:r>
          </w:p>
        </w:tc>
        <w:tc>
          <w:tcPr>
            <w:tcW w:w="1339" w:type="pct"/>
            <w:vAlign w:val="center"/>
          </w:tcPr>
          <w:p w14:paraId="5BBA388A">
            <w:pPr>
              <w:adjustRightInd w:val="0"/>
              <w:snapToGrid w:val="0"/>
              <w:jc w:val="center"/>
              <w:rPr>
                <w:color w:val="auto"/>
                <w:sz w:val="24"/>
              </w:rPr>
            </w:pPr>
            <w:r>
              <w:rPr>
                <w:color w:val="auto"/>
                <w:sz w:val="24"/>
              </w:rPr>
              <w:t>1%</w:t>
            </w:r>
          </w:p>
        </w:tc>
        <w:tc>
          <w:tcPr>
            <w:tcW w:w="1289" w:type="pct"/>
            <w:tcMar>
              <w:top w:w="16" w:type="dxa"/>
              <w:left w:w="16" w:type="dxa"/>
              <w:right w:w="16" w:type="dxa"/>
            </w:tcMar>
            <w:vAlign w:val="center"/>
          </w:tcPr>
          <w:p w14:paraId="53CA1FF2">
            <w:pPr>
              <w:adjustRightInd w:val="0"/>
              <w:snapToGrid w:val="0"/>
              <w:jc w:val="center"/>
              <w:rPr>
                <w:color w:val="auto"/>
                <w:sz w:val="24"/>
              </w:rPr>
            </w:pPr>
            <w:r>
              <w:rPr>
                <w:color w:val="auto"/>
                <w:sz w:val="24"/>
              </w:rPr>
              <w:t>施工工期</w:t>
            </w:r>
          </w:p>
        </w:tc>
        <w:tc>
          <w:tcPr>
            <w:tcW w:w="1143" w:type="pct"/>
            <w:vAlign w:val="center"/>
          </w:tcPr>
          <w:p w14:paraId="7CDCC722">
            <w:pPr>
              <w:adjustRightInd w:val="0"/>
              <w:snapToGrid w:val="0"/>
              <w:jc w:val="center"/>
              <w:rPr>
                <w:color w:val="auto"/>
                <w:sz w:val="24"/>
              </w:rPr>
            </w:pPr>
            <w:r>
              <w:rPr>
                <w:color w:val="auto"/>
                <w:sz w:val="24"/>
              </w:rPr>
              <w:t>2个月</w:t>
            </w:r>
          </w:p>
        </w:tc>
      </w:tr>
      <w:tr w14:paraId="26686F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right"/>
        </w:trPr>
        <w:tc>
          <w:tcPr>
            <w:tcW w:w="1227" w:type="pct"/>
            <w:tcMar>
              <w:top w:w="16" w:type="dxa"/>
              <w:left w:w="16" w:type="dxa"/>
              <w:right w:w="16" w:type="dxa"/>
            </w:tcMar>
            <w:vAlign w:val="center"/>
          </w:tcPr>
          <w:p w14:paraId="61E351A3">
            <w:pPr>
              <w:adjustRightInd w:val="0"/>
              <w:snapToGrid w:val="0"/>
              <w:jc w:val="center"/>
              <w:rPr>
                <w:color w:val="auto"/>
                <w:sz w:val="24"/>
              </w:rPr>
            </w:pPr>
            <w:r>
              <w:rPr>
                <w:color w:val="auto"/>
                <w:sz w:val="24"/>
              </w:rPr>
              <w:t>是否开工建设</w:t>
            </w:r>
          </w:p>
        </w:tc>
        <w:tc>
          <w:tcPr>
            <w:tcW w:w="1339" w:type="pct"/>
            <w:vAlign w:val="center"/>
          </w:tcPr>
          <w:p w14:paraId="2C16C9E0">
            <w:pPr>
              <w:adjustRightInd w:val="0"/>
              <w:snapToGrid w:val="0"/>
              <w:rPr>
                <w:color w:val="auto"/>
                <w:sz w:val="24"/>
              </w:rPr>
            </w:pPr>
            <w:r>
              <w:rPr>
                <w:color w:val="auto"/>
                <w:sz w:val="24"/>
              </w:rPr>
              <w:t>■否</w:t>
            </w:r>
          </w:p>
          <w:p w14:paraId="592159CC">
            <w:pPr>
              <w:adjustRightInd w:val="0"/>
              <w:snapToGrid w:val="0"/>
              <w:rPr>
                <w:color w:val="auto"/>
                <w:sz w:val="24"/>
              </w:rPr>
            </w:pPr>
            <w:r>
              <w:rPr>
                <w:color w:val="auto"/>
                <w:sz w:val="24"/>
              </w:rPr>
              <w:t>□是：</w:t>
            </w:r>
            <w:r>
              <w:rPr>
                <w:color w:val="auto"/>
                <w:sz w:val="24"/>
                <w:u w:val="single"/>
              </w:rPr>
              <w:t xml:space="preserve">             </w:t>
            </w:r>
          </w:p>
        </w:tc>
        <w:tc>
          <w:tcPr>
            <w:tcW w:w="1289" w:type="pct"/>
            <w:tcMar>
              <w:top w:w="16" w:type="dxa"/>
              <w:left w:w="16" w:type="dxa"/>
              <w:right w:w="16" w:type="dxa"/>
            </w:tcMar>
            <w:vAlign w:val="center"/>
          </w:tcPr>
          <w:p w14:paraId="087A1F6F">
            <w:pPr>
              <w:adjustRightInd w:val="0"/>
              <w:snapToGrid w:val="0"/>
              <w:jc w:val="center"/>
              <w:rPr>
                <w:color w:val="auto"/>
                <w:spacing w:val="-6"/>
                <w:sz w:val="24"/>
              </w:rPr>
            </w:pPr>
            <w:r>
              <w:rPr>
                <w:color w:val="auto"/>
                <w:spacing w:val="-6"/>
                <w:sz w:val="24"/>
              </w:rPr>
              <w:t>用地（用海）</w:t>
            </w:r>
          </w:p>
          <w:p w14:paraId="45D9C760">
            <w:pPr>
              <w:adjustRightInd w:val="0"/>
              <w:snapToGrid w:val="0"/>
              <w:jc w:val="center"/>
              <w:rPr>
                <w:color w:val="auto"/>
                <w:sz w:val="24"/>
              </w:rPr>
            </w:pPr>
            <w:r>
              <w:rPr>
                <w:color w:val="auto"/>
                <w:spacing w:val="-6"/>
                <w:sz w:val="24"/>
              </w:rPr>
              <w:t>面积（m</w:t>
            </w:r>
            <w:r>
              <w:rPr>
                <w:color w:val="auto"/>
                <w:spacing w:val="-6"/>
                <w:sz w:val="24"/>
                <w:vertAlign w:val="superscript"/>
              </w:rPr>
              <w:t>2</w:t>
            </w:r>
            <w:r>
              <w:rPr>
                <w:color w:val="auto"/>
                <w:spacing w:val="-6"/>
                <w:sz w:val="24"/>
              </w:rPr>
              <w:t>）</w:t>
            </w:r>
          </w:p>
        </w:tc>
        <w:tc>
          <w:tcPr>
            <w:tcW w:w="1143" w:type="pct"/>
            <w:vAlign w:val="center"/>
          </w:tcPr>
          <w:p w14:paraId="3089FE00">
            <w:pPr>
              <w:adjustRightInd w:val="0"/>
              <w:snapToGrid w:val="0"/>
              <w:jc w:val="center"/>
              <w:rPr>
                <w:rFonts w:hint="default" w:eastAsia="宋体"/>
                <w:color w:val="auto"/>
                <w:sz w:val="24"/>
                <w:lang w:val="en-US" w:eastAsia="zh-CN"/>
              </w:rPr>
            </w:pPr>
            <w:r>
              <w:rPr>
                <w:rFonts w:hint="eastAsia"/>
                <w:color w:val="auto"/>
                <w:sz w:val="24"/>
                <w:lang w:val="en-US" w:eastAsia="zh-CN"/>
              </w:rPr>
              <w:t>3000</w:t>
            </w:r>
          </w:p>
        </w:tc>
      </w:tr>
      <w:tr w14:paraId="217C8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right"/>
        </w:trPr>
        <w:tc>
          <w:tcPr>
            <w:tcW w:w="1227" w:type="pct"/>
            <w:vAlign w:val="center"/>
          </w:tcPr>
          <w:p w14:paraId="3A05977B">
            <w:pPr>
              <w:autoSpaceDE w:val="0"/>
              <w:autoSpaceDN w:val="0"/>
              <w:adjustRightInd w:val="0"/>
              <w:snapToGrid w:val="0"/>
              <w:jc w:val="center"/>
              <w:rPr>
                <w:color w:val="auto"/>
                <w:kern w:val="0"/>
                <w:sz w:val="24"/>
              </w:rPr>
            </w:pPr>
            <w:r>
              <w:rPr>
                <w:color w:val="auto"/>
                <w:kern w:val="0"/>
                <w:sz w:val="24"/>
              </w:rPr>
              <w:t>专项评价设置</w:t>
            </w:r>
          </w:p>
          <w:p w14:paraId="02C4834F">
            <w:pPr>
              <w:autoSpaceDE w:val="0"/>
              <w:autoSpaceDN w:val="0"/>
              <w:adjustRightInd w:val="0"/>
              <w:snapToGrid w:val="0"/>
              <w:jc w:val="center"/>
              <w:rPr>
                <w:color w:val="auto"/>
                <w:kern w:val="0"/>
                <w:sz w:val="24"/>
              </w:rPr>
            </w:pPr>
            <w:r>
              <w:rPr>
                <w:color w:val="auto"/>
                <w:kern w:val="0"/>
                <w:sz w:val="24"/>
              </w:rPr>
              <w:t>情况</w:t>
            </w:r>
          </w:p>
        </w:tc>
        <w:tc>
          <w:tcPr>
            <w:tcW w:w="3772" w:type="pct"/>
            <w:gridSpan w:val="3"/>
            <w:vAlign w:val="center"/>
          </w:tcPr>
          <w:p w14:paraId="3E37CFF4">
            <w:pPr>
              <w:spacing w:line="500" w:lineRule="exact"/>
              <w:jc w:val="center"/>
              <w:rPr>
                <w:color w:val="auto"/>
                <w:kern w:val="0"/>
                <w:sz w:val="24"/>
              </w:rPr>
            </w:pPr>
            <w:r>
              <w:rPr>
                <w:color w:val="auto"/>
                <w:kern w:val="0"/>
                <w:sz w:val="24"/>
              </w:rPr>
              <w:t>无</w:t>
            </w:r>
          </w:p>
        </w:tc>
      </w:tr>
      <w:tr w14:paraId="6CD1D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right"/>
        </w:trPr>
        <w:tc>
          <w:tcPr>
            <w:tcW w:w="1227" w:type="pct"/>
            <w:vAlign w:val="center"/>
          </w:tcPr>
          <w:p w14:paraId="1F3EAFE9">
            <w:pPr>
              <w:autoSpaceDE w:val="0"/>
              <w:autoSpaceDN w:val="0"/>
              <w:adjustRightInd w:val="0"/>
              <w:snapToGrid w:val="0"/>
              <w:jc w:val="center"/>
              <w:rPr>
                <w:color w:val="auto"/>
                <w:kern w:val="0"/>
                <w:sz w:val="24"/>
              </w:rPr>
            </w:pPr>
            <w:r>
              <w:rPr>
                <w:color w:val="auto"/>
                <w:sz w:val="24"/>
              </w:rPr>
              <w:t>规划情况</w:t>
            </w:r>
          </w:p>
        </w:tc>
        <w:tc>
          <w:tcPr>
            <w:tcW w:w="3772" w:type="pct"/>
            <w:gridSpan w:val="3"/>
            <w:vAlign w:val="center"/>
          </w:tcPr>
          <w:p w14:paraId="4F4DDE34">
            <w:pPr>
              <w:keepNext w:val="0"/>
              <w:keepLines w:val="0"/>
              <w:widowControl/>
              <w:suppressLineNumbers w:val="0"/>
              <w:spacing w:line="360" w:lineRule="auto"/>
              <w:jc w:val="left"/>
              <w:rPr>
                <w:rFonts w:hint="eastAsia"/>
                <w:color w:val="auto"/>
                <w:sz w:val="24"/>
              </w:rPr>
            </w:pPr>
            <w:r>
              <w:rPr>
                <w:rFonts w:hint="eastAsia"/>
                <w:color w:val="auto"/>
                <w:sz w:val="24"/>
              </w:rPr>
              <w:t>《蚌埠市城市总体规划（2013-2030）》（2013年1月）</w:t>
            </w:r>
          </w:p>
          <w:p w14:paraId="58792A80">
            <w:pPr>
              <w:keepNext w:val="0"/>
              <w:keepLines w:val="0"/>
              <w:widowControl/>
              <w:suppressLineNumbers w:val="0"/>
              <w:spacing w:line="360" w:lineRule="auto"/>
              <w:jc w:val="left"/>
              <w:rPr>
                <w:color w:val="auto"/>
                <w:sz w:val="24"/>
              </w:rPr>
            </w:pPr>
            <w:r>
              <w:rPr>
                <w:rFonts w:hint="eastAsia"/>
                <w:color w:val="auto"/>
                <w:sz w:val="24"/>
              </w:rPr>
              <w:t>《蚌埠市龙子湖区高铁工贸园区控制性详细规划》（2017-2030年）</w:t>
            </w:r>
          </w:p>
        </w:tc>
      </w:tr>
      <w:tr w14:paraId="45ACB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right"/>
        </w:trPr>
        <w:tc>
          <w:tcPr>
            <w:tcW w:w="1227" w:type="pct"/>
            <w:vAlign w:val="center"/>
          </w:tcPr>
          <w:p w14:paraId="729BDD1A">
            <w:pPr>
              <w:adjustRightInd w:val="0"/>
              <w:snapToGrid w:val="0"/>
              <w:jc w:val="center"/>
              <w:rPr>
                <w:color w:val="auto"/>
                <w:sz w:val="24"/>
              </w:rPr>
            </w:pPr>
            <w:r>
              <w:rPr>
                <w:color w:val="auto"/>
                <w:sz w:val="24"/>
              </w:rPr>
              <w:t>规划环境影响</w:t>
            </w:r>
          </w:p>
          <w:p w14:paraId="34B2E1F7">
            <w:pPr>
              <w:adjustRightInd w:val="0"/>
              <w:snapToGrid w:val="0"/>
              <w:jc w:val="center"/>
              <w:rPr>
                <w:color w:val="auto"/>
                <w:kern w:val="0"/>
                <w:sz w:val="24"/>
              </w:rPr>
            </w:pPr>
            <w:r>
              <w:rPr>
                <w:color w:val="auto"/>
                <w:sz w:val="24"/>
              </w:rPr>
              <w:t>评价情况</w:t>
            </w:r>
          </w:p>
        </w:tc>
        <w:tc>
          <w:tcPr>
            <w:tcW w:w="3772" w:type="pct"/>
            <w:gridSpan w:val="3"/>
            <w:vAlign w:val="center"/>
          </w:tcPr>
          <w:p w14:paraId="6CDC6EB9">
            <w:pPr>
              <w:spacing w:line="500" w:lineRule="exact"/>
              <w:ind w:firstLine="0" w:firstLineChars="0"/>
              <w:rPr>
                <w:color w:val="auto"/>
                <w:kern w:val="0"/>
                <w:sz w:val="24"/>
              </w:rPr>
            </w:pPr>
            <w:r>
              <w:rPr>
                <w:rFonts w:hint="eastAsia" w:ascii="宋体" w:hAnsi="宋体" w:eastAsia="宋体" w:cs="宋体"/>
                <w:color w:val="auto"/>
                <w:kern w:val="0"/>
                <w:sz w:val="24"/>
                <w:szCs w:val="24"/>
                <w:lang w:val="en-US" w:eastAsia="zh-CN" w:bidi="ar"/>
              </w:rPr>
              <w:t>规划环境影响评价文件名称：</w:t>
            </w:r>
            <w:r>
              <w:rPr>
                <w:rFonts w:hint="eastAsia"/>
                <w:color w:val="auto"/>
                <w:kern w:val="0"/>
                <w:sz w:val="24"/>
              </w:rPr>
              <w:t>《蚌埠市龙子湖区高铁工贸园区控制性详细规划环境影响报告书》</w:t>
            </w:r>
          </w:p>
          <w:p w14:paraId="2C366F39">
            <w:pPr>
              <w:spacing w:line="500" w:lineRule="exact"/>
              <w:ind w:firstLine="0" w:firstLineChars="0"/>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lang w:val="en-US" w:eastAsia="zh-CN" w:bidi="ar"/>
              </w:rPr>
              <w:t>审查机关：</w:t>
            </w:r>
            <w:r>
              <w:rPr>
                <w:rFonts w:hint="eastAsia" w:ascii="宋体" w:hAnsi="宋体" w:cs="宋体"/>
                <w:color w:val="auto"/>
                <w:kern w:val="0"/>
                <w:sz w:val="24"/>
                <w:szCs w:val="24"/>
                <w:highlight w:val="none"/>
                <w:lang w:val="en-US" w:eastAsia="zh-CN" w:bidi="ar"/>
              </w:rPr>
              <w:t>蚌埠市环境保护局</w:t>
            </w:r>
          </w:p>
          <w:p w14:paraId="41FC9911">
            <w:pPr>
              <w:spacing w:line="500" w:lineRule="exact"/>
              <w:ind w:firstLine="0" w:firstLineChars="0"/>
              <w:rPr>
                <w:rFonts w:hint="eastAsia"/>
                <w:color w:val="auto"/>
                <w:kern w:val="0"/>
                <w:sz w:val="24"/>
              </w:rPr>
            </w:pPr>
            <w:r>
              <w:rPr>
                <w:rFonts w:hint="eastAsia" w:ascii="宋体" w:hAnsi="宋体" w:eastAsia="宋体" w:cs="宋体"/>
                <w:color w:val="auto"/>
                <w:kern w:val="0"/>
                <w:sz w:val="24"/>
                <w:szCs w:val="24"/>
                <w:lang w:val="en-US" w:eastAsia="zh-CN" w:bidi="ar"/>
              </w:rPr>
              <w:t>规划环评审批文件名称：</w:t>
            </w:r>
            <w:r>
              <w:rPr>
                <w:rFonts w:hint="eastAsia"/>
                <w:color w:val="auto"/>
                <w:kern w:val="0"/>
                <w:sz w:val="24"/>
              </w:rPr>
              <w:t>《关于蚌埠市龙子湖区高铁工贸园区控制性详细规划环境影响报告书审查意见的函》</w:t>
            </w:r>
          </w:p>
          <w:p w14:paraId="6C35DDDE">
            <w:pPr>
              <w:spacing w:line="500" w:lineRule="exact"/>
              <w:ind w:firstLine="0" w:firstLineChars="0"/>
              <w:rPr>
                <w:color w:val="auto"/>
                <w:kern w:val="0"/>
                <w:sz w:val="24"/>
              </w:rPr>
            </w:pPr>
            <w:r>
              <w:rPr>
                <w:rFonts w:hint="eastAsia" w:ascii="宋体" w:hAnsi="宋体" w:eastAsia="宋体" w:cs="宋体"/>
                <w:color w:val="auto"/>
                <w:kern w:val="0"/>
                <w:sz w:val="24"/>
                <w:szCs w:val="24"/>
                <w:lang w:val="en-US" w:eastAsia="zh-CN" w:bidi="ar"/>
              </w:rPr>
              <w:t>规划环评审批文号：</w:t>
            </w:r>
            <w:r>
              <w:rPr>
                <w:rFonts w:hint="eastAsia"/>
                <w:color w:val="auto"/>
                <w:kern w:val="0"/>
                <w:sz w:val="24"/>
              </w:rPr>
              <w:t>（蚌环许〔</w:t>
            </w:r>
            <w:r>
              <w:rPr>
                <w:color w:val="auto"/>
                <w:kern w:val="0"/>
                <w:sz w:val="24"/>
              </w:rPr>
              <w:t>2017</w:t>
            </w:r>
            <w:r>
              <w:rPr>
                <w:rFonts w:hint="eastAsia"/>
                <w:color w:val="auto"/>
                <w:kern w:val="0"/>
                <w:sz w:val="24"/>
              </w:rPr>
              <w:t>〕</w:t>
            </w:r>
            <w:r>
              <w:rPr>
                <w:color w:val="auto"/>
                <w:kern w:val="0"/>
                <w:sz w:val="24"/>
              </w:rPr>
              <w:t>22</w:t>
            </w:r>
            <w:r>
              <w:rPr>
                <w:rFonts w:hint="eastAsia"/>
                <w:color w:val="auto"/>
                <w:kern w:val="0"/>
                <w:sz w:val="24"/>
              </w:rPr>
              <w:t>号）。</w:t>
            </w:r>
          </w:p>
        </w:tc>
      </w:tr>
      <w:tr w14:paraId="24932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8" w:hRule="atLeast"/>
          <w:jc w:val="right"/>
        </w:trPr>
        <w:tc>
          <w:tcPr>
            <w:tcW w:w="1227" w:type="pct"/>
            <w:vAlign w:val="center"/>
          </w:tcPr>
          <w:p w14:paraId="7696F7E9">
            <w:pPr>
              <w:autoSpaceDE w:val="0"/>
              <w:autoSpaceDN w:val="0"/>
              <w:adjustRightInd w:val="0"/>
              <w:snapToGrid w:val="0"/>
              <w:jc w:val="center"/>
              <w:rPr>
                <w:color w:val="auto"/>
                <w:kern w:val="0"/>
                <w:sz w:val="24"/>
              </w:rPr>
            </w:pPr>
            <w:r>
              <w:rPr>
                <w:color w:val="auto"/>
                <w:kern w:val="0"/>
                <w:sz w:val="24"/>
              </w:rPr>
              <w:t>规划及规划环境影响评价符合性分析</w:t>
            </w:r>
          </w:p>
        </w:tc>
        <w:tc>
          <w:tcPr>
            <w:tcW w:w="3772" w:type="pct"/>
            <w:gridSpan w:val="3"/>
            <w:vAlign w:val="center"/>
          </w:tcPr>
          <w:p w14:paraId="61081A19">
            <w:pPr>
              <w:spacing w:line="500" w:lineRule="exact"/>
              <w:ind w:firstLine="480" w:firstLineChars="200"/>
              <w:rPr>
                <w:color w:val="auto"/>
                <w:kern w:val="0"/>
                <w:sz w:val="24"/>
              </w:rPr>
            </w:pPr>
            <w:r>
              <w:rPr>
                <w:color w:val="auto"/>
                <w:kern w:val="0"/>
                <w:sz w:val="24"/>
              </w:rPr>
              <w:t>根据《蚌埠市龙子湖区高铁工贸园区控制性详细规划环境影响报告书》，</w:t>
            </w:r>
            <w:r>
              <w:rPr>
                <w:rFonts w:hint="eastAsia"/>
                <w:color w:val="auto"/>
                <w:kern w:val="0"/>
                <w:sz w:val="24"/>
                <w:lang w:eastAsia="zh-CN"/>
              </w:rPr>
              <w:t>安徽中江材料科技有限公司</w:t>
            </w:r>
            <w:r>
              <w:rPr>
                <w:color w:val="auto"/>
                <w:kern w:val="0"/>
                <w:sz w:val="24"/>
              </w:rPr>
              <w:t>用地为规划的工业用地。项目用地符合</w:t>
            </w:r>
            <w:r>
              <w:rPr>
                <w:rFonts w:hint="eastAsia"/>
                <w:color w:val="auto"/>
                <w:kern w:val="0"/>
                <w:sz w:val="24"/>
              </w:rPr>
              <w:t>龙子湖区高铁工贸园区</w:t>
            </w:r>
            <w:r>
              <w:rPr>
                <w:color w:val="auto"/>
                <w:kern w:val="0"/>
                <w:sz w:val="24"/>
              </w:rPr>
              <w:t>土地利用规划。</w:t>
            </w:r>
          </w:p>
          <w:p w14:paraId="206A197A">
            <w:pPr>
              <w:spacing w:line="500" w:lineRule="exact"/>
              <w:ind w:firstLine="480" w:firstLineChars="200"/>
              <w:rPr>
                <w:color w:val="auto"/>
                <w:kern w:val="0"/>
                <w:sz w:val="24"/>
              </w:rPr>
            </w:pPr>
            <w:r>
              <w:rPr>
                <w:color w:val="auto"/>
                <w:kern w:val="0"/>
                <w:sz w:val="24"/>
              </w:rPr>
              <w:t>根据《蚌埠市龙子湖区高铁工贸园区控制性详细规划环境影响报告书》及《关于蚌埠市龙子湖区高铁工贸园区控制性详细规划环境影响报告书</w:t>
            </w:r>
            <w:r>
              <w:rPr>
                <w:rFonts w:hint="eastAsia"/>
                <w:color w:val="auto"/>
                <w:kern w:val="0"/>
                <w:sz w:val="24"/>
              </w:rPr>
              <w:t>审查意见</w:t>
            </w:r>
            <w:r>
              <w:rPr>
                <w:color w:val="auto"/>
                <w:kern w:val="0"/>
                <w:sz w:val="24"/>
              </w:rPr>
              <w:t>的函》（</w:t>
            </w:r>
            <w:r>
              <w:rPr>
                <w:rFonts w:hint="eastAsia"/>
                <w:color w:val="auto"/>
                <w:kern w:val="0"/>
                <w:sz w:val="24"/>
              </w:rPr>
              <w:t>蚌环许（2</w:t>
            </w:r>
            <w:r>
              <w:rPr>
                <w:color w:val="auto"/>
                <w:kern w:val="0"/>
                <w:sz w:val="24"/>
              </w:rPr>
              <w:t>017</w:t>
            </w:r>
            <w:r>
              <w:rPr>
                <w:rFonts w:hint="eastAsia"/>
                <w:color w:val="auto"/>
                <w:kern w:val="0"/>
                <w:sz w:val="24"/>
              </w:rPr>
              <w:t>）</w:t>
            </w:r>
            <w:r>
              <w:rPr>
                <w:color w:val="auto"/>
                <w:kern w:val="0"/>
                <w:sz w:val="24"/>
              </w:rPr>
              <w:t>22号），龙子湖区高铁工贸园区性质确定为：以发展硅基新材料及配套产业、电子信息、装备制造、节能环保、食品为主导产业的环境优美、工业发达、居住舒适、交通便捷的综合功能型高铁工贸园区。根据《蚌埠市龙子湖区高铁工贸园区控制性详细规划环境影响报告书》中相关内容，开发区禁止、限制进入类项目一览表如下表所示</w:t>
            </w:r>
            <w:r>
              <w:rPr>
                <w:rFonts w:hint="eastAsia"/>
                <w:color w:val="auto"/>
                <w:kern w:val="0"/>
                <w:sz w:val="24"/>
              </w:rPr>
              <w:t>：</w:t>
            </w:r>
          </w:p>
          <w:p w14:paraId="1985F200">
            <w:pPr>
              <w:widowControl/>
              <w:spacing w:after="24" w:afterLines="10" w:line="500" w:lineRule="exact"/>
              <w:jc w:val="center"/>
              <w:rPr>
                <w:b/>
                <w:color w:val="auto"/>
                <w:sz w:val="24"/>
              </w:rPr>
            </w:pPr>
            <w:r>
              <w:rPr>
                <w:rFonts w:hint="eastAsia"/>
                <w:b/>
                <w:color w:val="auto"/>
                <w:sz w:val="24"/>
              </w:rPr>
              <w:t>表1-</w:t>
            </w:r>
            <w:r>
              <w:rPr>
                <w:b/>
                <w:color w:val="auto"/>
                <w:sz w:val="24"/>
              </w:rPr>
              <w:t xml:space="preserve">1 </w:t>
            </w:r>
            <w:r>
              <w:rPr>
                <w:rFonts w:hint="eastAsia"/>
                <w:b/>
                <w:color w:val="auto"/>
                <w:sz w:val="24"/>
              </w:rPr>
              <w:t>开发区禁止、限制进入类项目一览表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4589"/>
            </w:tblGrid>
            <w:tr w14:paraId="043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Align w:val="center"/>
                </w:tcPr>
                <w:p w14:paraId="4351C10C">
                  <w:pPr>
                    <w:adjustRightInd w:val="0"/>
                    <w:snapToGrid w:val="0"/>
                    <w:jc w:val="center"/>
                    <w:rPr>
                      <w:color w:val="auto"/>
                      <w:szCs w:val="21"/>
                    </w:rPr>
                  </w:pPr>
                  <w:r>
                    <w:rPr>
                      <w:rFonts w:hint="eastAsia" w:hAnsi="宋体"/>
                      <w:color w:val="auto"/>
                      <w:szCs w:val="21"/>
                    </w:rPr>
                    <w:t>类别</w:t>
                  </w:r>
                </w:p>
              </w:tc>
              <w:tc>
                <w:tcPr>
                  <w:tcW w:w="3651" w:type="pct"/>
                  <w:vAlign w:val="center"/>
                </w:tcPr>
                <w:p w14:paraId="1E58B38B">
                  <w:pPr>
                    <w:adjustRightInd w:val="0"/>
                    <w:snapToGrid w:val="0"/>
                    <w:jc w:val="center"/>
                    <w:rPr>
                      <w:color w:val="auto"/>
                      <w:szCs w:val="21"/>
                    </w:rPr>
                  </w:pPr>
                  <w:r>
                    <w:rPr>
                      <w:rFonts w:hint="eastAsia" w:hAnsi="宋体"/>
                      <w:color w:val="auto"/>
                      <w:szCs w:val="21"/>
                    </w:rPr>
                    <w:t>项目类别</w:t>
                  </w:r>
                </w:p>
              </w:tc>
            </w:tr>
            <w:tr w14:paraId="17EF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Merge w:val="restart"/>
                  <w:vAlign w:val="center"/>
                </w:tcPr>
                <w:p w14:paraId="1F6173E3">
                  <w:pPr>
                    <w:adjustRightInd w:val="0"/>
                    <w:snapToGrid w:val="0"/>
                    <w:jc w:val="center"/>
                    <w:rPr>
                      <w:color w:val="auto"/>
                      <w:szCs w:val="21"/>
                    </w:rPr>
                  </w:pPr>
                  <w:r>
                    <w:rPr>
                      <w:rFonts w:hint="eastAsia" w:hAnsi="宋体"/>
                      <w:color w:val="auto"/>
                      <w:szCs w:val="21"/>
                    </w:rPr>
                    <w:t>禁止类</w:t>
                  </w:r>
                </w:p>
              </w:tc>
              <w:tc>
                <w:tcPr>
                  <w:tcW w:w="3651" w:type="pct"/>
                  <w:vAlign w:val="center"/>
                </w:tcPr>
                <w:p w14:paraId="4DC48B40">
                  <w:pPr>
                    <w:adjustRightInd w:val="0"/>
                    <w:snapToGrid w:val="0"/>
                    <w:jc w:val="center"/>
                    <w:rPr>
                      <w:color w:val="auto"/>
                      <w:szCs w:val="21"/>
                    </w:rPr>
                  </w:pPr>
                  <w:r>
                    <w:rPr>
                      <w:rFonts w:hAnsi="宋体"/>
                      <w:color w:val="auto"/>
                      <w:szCs w:val="21"/>
                    </w:rPr>
                    <w:t>国家明令禁止建设或投资的、不符合《产业结构调整指导目录》要求的建设项目</w:t>
                  </w:r>
                </w:p>
              </w:tc>
            </w:tr>
            <w:tr w14:paraId="237A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Merge w:val="continue"/>
                  <w:vAlign w:val="center"/>
                </w:tcPr>
                <w:p w14:paraId="670BACFE">
                  <w:pPr>
                    <w:widowControl/>
                    <w:jc w:val="center"/>
                    <w:rPr>
                      <w:color w:val="auto"/>
                      <w:szCs w:val="21"/>
                    </w:rPr>
                  </w:pPr>
                </w:p>
              </w:tc>
              <w:tc>
                <w:tcPr>
                  <w:tcW w:w="3651" w:type="pct"/>
                  <w:vAlign w:val="center"/>
                </w:tcPr>
                <w:p w14:paraId="48A9D065">
                  <w:pPr>
                    <w:adjustRightInd w:val="0"/>
                    <w:snapToGrid w:val="0"/>
                    <w:jc w:val="center"/>
                    <w:rPr>
                      <w:color w:val="auto"/>
                      <w:szCs w:val="21"/>
                    </w:rPr>
                  </w:pPr>
                  <w:r>
                    <w:rPr>
                      <w:rFonts w:hAnsi="宋体"/>
                      <w:color w:val="auto"/>
                      <w:szCs w:val="21"/>
                    </w:rPr>
                    <w:t>《淮河流域水污染防治暂行条例》中禁止在淮河流域新建制革、化工、印染、电镀、酿造等污染严重的小型企业</w:t>
                  </w:r>
                  <w:r>
                    <w:rPr>
                      <w:rFonts w:hint="eastAsia" w:hAnsi="宋体"/>
                      <w:color w:val="auto"/>
                      <w:szCs w:val="21"/>
                    </w:rPr>
                    <w:t>。</w:t>
                  </w:r>
                  <w:r>
                    <w:rPr>
                      <w:rFonts w:hAnsi="宋体"/>
                      <w:color w:val="auto"/>
                      <w:szCs w:val="21"/>
                    </w:rPr>
                    <w:t>规模效益差、能源资源消耗大、环境影响严重的企业，严格控制高污染、高能耗、高水耗项目</w:t>
                  </w:r>
                </w:p>
              </w:tc>
            </w:tr>
            <w:tr w14:paraId="415E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Merge w:val="continue"/>
                  <w:vAlign w:val="center"/>
                </w:tcPr>
                <w:p w14:paraId="293A787D">
                  <w:pPr>
                    <w:widowControl/>
                    <w:jc w:val="center"/>
                    <w:rPr>
                      <w:color w:val="auto"/>
                      <w:szCs w:val="21"/>
                    </w:rPr>
                  </w:pPr>
                </w:p>
              </w:tc>
              <w:tc>
                <w:tcPr>
                  <w:tcW w:w="3651" w:type="pct"/>
                  <w:vAlign w:val="center"/>
                </w:tcPr>
                <w:p w14:paraId="09607EE2">
                  <w:pPr>
                    <w:adjustRightInd w:val="0"/>
                    <w:snapToGrid w:val="0"/>
                    <w:jc w:val="center"/>
                    <w:rPr>
                      <w:rFonts w:hAnsi="宋体"/>
                      <w:color w:val="auto"/>
                      <w:szCs w:val="21"/>
                    </w:rPr>
                  </w:pPr>
                  <w:r>
                    <w:rPr>
                      <w:rFonts w:hAnsi="宋体"/>
                      <w:color w:val="auto"/>
                      <w:szCs w:val="21"/>
                    </w:rPr>
                    <w:t>电池制造业、带有表面处理及电镀处理工艺的项目</w:t>
                  </w:r>
                </w:p>
              </w:tc>
            </w:tr>
            <w:tr w14:paraId="220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Merge w:val="restart"/>
                  <w:vAlign w:val="center"/>
                </w:tcPr>
                <w:p w14:paraId="4052A461">
                  <w:pPr>
                    <w:adjustRightInd w:val="0"/>
                    <w:snapToGrid w:val="0"/>
                    <w:jc w:val="center"/>
                    <w:rPr>
                      <w:color w:val="auto"/>
                      <w:szCs w:val="21"/>
                    </w:rPr>
                  </w:pPr>
                  <w:r>
                    <w:rPr>
                      <w:rFonts w:hint="eastAsia" w:hAnsi="宋体"/>
                      <w:color w:val="auto"/>
                      <w:szCs w:val="21"/>
                    </w:rPr>
                    <w:t>限制类</w:t>
                  </w:r>
                </w:p>
              </w:tc>
              <w:tc>
                <w:tcPr>
                  <w:tcW w:w="3651" w:type="pct"/>
                  <w:vAlign w:val="center"/>
                </w:tcPr>
                <w:p w14:paraId="155609CB">
                  <w:pPr>
                    <w:adjustRightInd w:val="0"/>
                    <w:snapToGrid w:val="0"/>
                    <w:jc w:val="center"/>
                    <w:rPr>
                      <w:color w:val="auto"/>
                      <w:szCs w:val="21"/>
                    </w:rPr>
                  </w:pPr>
                  <w:r>
                    <w:rPr>
                      <w:rFonts w:hint="eastAsia" w:hAnsi="宋体"/>
                      <w:color w:val="auto"/>
                      <w:szCs w:val="21"/>
                    </w:rPr>
                    <w:t>《产业结构调整指导目录》中限制类的项目</w:t>
                  </w:r>
                </w:p>
              </w:tc>
            </w:tr>
            <w:tr w14:paraId="75FB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49" w:type="pct"/>
                  <w:vMerge w:val="continue"/>
                  <w:vAlign w:val="center"/>
                </w:tcPr>
                <w:p w14:paraId="57D974AB">
                  <w:pPr>
                    <w:adjustRightInd w:val="0"/>
                    <w:snapToGrid w:val="0"/>
                    <w:jc w:val="center"/>
                    <w:rPr>
                      <w:color w:val="auto"/>
                      <w:szCs w:val="21"/>
                    </w:rPr>
                  </w:pPr>
                </w:p>
              </w:tc>
              <w:tc>
                <w:tcPr>
                  <w:tcW w:w="3651" w:type="pct"/>
                  <w:vAlign w:val="center"/>
                </w:tcPr>
                <w:p w14:paraId="79C94C85">
                  <w:pPr>
                    <w:widowControl/>
                    <w:adjustRightInd w:val="0"/>
                    <w:snapToGrid w:val="0"/>
                    <w:jc w:val="center"/>
                    <w:rPr>
                      <w:rFonts w:hAnsi="宋体"/>
                      <w:color w:val="auto"/>
                      <w:szCs w:val="21"/>
                    </w:rPr>
                  </w:pPr>
                  <w:r>
                    <w:rPr>
                      <w:color w:val="auto"/>
                      <w:szCs w:val="21"/>
                    </w:rPr>
                    <w:t>园区实行集中供气后，尚需要自行建设燃煤锅炉的企业</w:t>
                  </w:r>
                </w:p>
              </w:tc>
            </w:tr>
          </w:tbl>
          <w:p w14:paraId="1675353B">
            <w:pPr>
              <w:spacing w:line="500" w:lineRule="exact"/>
              <w:ind w:firstLine="480" w:firstLineChars="200"/>
              <w:rPr>
                <w:color w:val="auto"/>
                <w:kern w:val="0"/>
                <w:sz w:val="24"/>
              </w:rPr>
            </w:pPr>
            <w:r>
              <w:rPr>
                <w:color w:val="auto"/>
                <w:kern w:val="0"/>
                <w:sz w:val="24"/>
                <w:highlight w:val="none"/>
                <w:shd w:val="clear"/>
              </w:rPr>
              <w:t>本项目</w:t>
            </w:r>
            <w:r>
              <w:rPr>
                <w:rFonts w:hint="eastAsia"/>
                <w:color w:val="auto"/>
                <w:kern w:val="0"/>
                <w:sz w:val="24"/>
                <w:highlight w:val="none"/>
                <w:shd w:val="clear"/>
              </w:rPr>
              <w:t>属于</w:t>
            </w:r>
            <w:r>
              <w:rPr>
                <w:rFonts w:hint="eastAsia"/>
                <w:color w:val="auto"/>
                <w:sz w:val="24"/>
                <w:highlight w:val="none"/>
                <w:shd w:val="clear"/>
                <w:lang w:eastAsia="zh-CN"/>
              </w:rPr>
              <w:t>非金属矿物制品业</w:t>
            </w:r>
            <w:r>
              <w:rPr>
                <w:rFonts w:hint="eastAsia"/>
                <w:color w:val="auto"/>
                <w:kern w:val="0"/>
                <w:sz w:val="24"/>
                <w:highlight w:val="none"/>
                <w:shd w:val="clear"/>
              </w:rPr>
              <w:t>，不属于</w:t>
            </w:r>
            <w:r>
              <w:rPr>
                <w:color w:val="auto"/>
                <w:kern w:val="0"/>
                <w:sz w:val="24"/>
                <w:highlight w:val="none"/>
                <w:shd w:val="clear"/>
              </w:rPr>
              <w:t>《蚌埠市龙子湖区高铁工贸园区控制性详细规划环境影响报告书》</w:t>
            </w:r>
            <w:r>
              <w:rPr>
                <w:color w:val="auto"/>
                <w:kern w:val="0"/>
                <w:sz w:val="24"/>
              </w:rPr>
              <w:t>中开发区禁止、限制进入类</w:t>
            </w:r>
            <w:r>
              <w:rPr>
                <w:rFonts w:hint="eastAsia"/>
                <w:color w:val="auto"/>
                <w:kern w:val="0"/>
                <w:sz w:val="24"/>
              </w:rPr>
              <w:t>，</w:t>
            </w:r>
            <w:r>
              <w:rPr>
                <w:rFonts w:hint="eastAsia"/>
                <w:color w:val="auto"/>
                <w:kern w:val="0"/>
                <w:sz w:val="24"/>
                <w:lang w:val="en-US" w:eastAsia="zh-CN"/>
              </w:rPr>
              <w:t>为园区配套产业，</w:t>
            </w:r>
            <w:r>
              <w:rPr>
                <w:color w:val="auto"/>
                <w:kern w:val="0"/>
                <w:sz w:val="24"/>
              </w:rPr>
              <w:t>项目建设</w:t>
            </w:r>
            <w:r>
              <w:rPr>
                <w:rFonts w:hint="eastAsia"/>
                <w:color w:val="auto"/>
                <w:kern w:val="0"/>
                <w:sz w:val="24"/>
              </w:rPr>
              <w:t>符合开发区产业发展规划。</w:t>
            </w:r>
          </w:p>
          <w:p w14:paraId="3C6C3F10">
            <w:pPr>
              <w:widowControl/>
              <w:spacing w:after="24" w:afterLines="10" w:line="500" w:lineRule="exact"/>
              <w:jc w:val="center"/>
              <w:rPr>
                <w:b/>
                <w:color w:val="auto"/>
                <w:sz w:val="24"/>
              </w:rPr>
            </w:pPr>
            <w:r>
              <w:rPr>
                <w:b/>
                <w:color w:val="auto"/>
                <w:sz w:val="24"/>
              </w:rPr>
              <w:t>表1-2  本项目与《蚌埠市龙子湖区高铁工贸园区控制性详细规划环境影响报告书》及其</w:t>
            </w:r>
            <w:r>
              <w:rPr>
                <w:rFonts w:hint="eastAsia"/>
                <w:b/>
                <w:color w:val="auto"/>
                <w:sz w:val="24"/>
              </w:rPr>
              <w:t>审查意见</w:t>
            </w:r>
            <w:r>
              <w:rPr>
                <w:b/>
                <w:color w:val="auto"/>
                <w:sz w:val="24"/>
              </w:rPr>
              <w:t>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2540"/>
              <w:gridCol w:w="2635"/>
              <w:gridCol w:w="626"/>
            </w:tblGrid>
            <w:tr w14:paraId="029A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12DD6A76">
                  <w:pPr>
                    <w:snapToGrid w:val="0"/>
                    <w:ind w:left="-80" w:leftChars="-38" w:right="-128" w:rightChars="-61"/>
                    <w:jc w:val="center"/>
                    <w:rPr>
                      <w:color w:val="auto"/>
                      <w:szCs w:val="21"/>
                    </w:rPr>
                  </w:pPr>
                  <w:r>
                    <w:rPr>
                      <w:color w:val="auto"/>
                      <w:szCs w:val="21"/>
                    </w:rPr>
                    <w:t>序号</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305E47CD">
                  <w:pPr>
                    <w:adjustRightInd w:val="0"/>
                    <w:snapToGrid w:val="0"/>
                    <w:jc w:val="center"/>
                    <w:textAlignment w:val="center"/>
                    <w:rPr>
                      <w:color w:val="auto"/>
                      <w:szCs w:val="21"/>
                    </w:rPr>
                  </w:pPr>
                  <w:r>
                    <w:rPr>
                      <w:bCs/>
                      <w:color w:val="auto"/>
                      <w:szCs w:val="21"/>
                    </w:rPr>
                    <w:t>《蚌埠市龙子湖区高铁工贸园区控制性详细规划环境影响报告书》及其</w:t>
                  </w:r>
                  <w:r>
                    <w:rPr>
                      <w:rFonts w:hint="eastAsia"/>
                      <w:bCs/>
                      <w:color w:val="auto"/>
                      <w:szCs w:val="21"/>
                    </w:rPr>
                    <w:t>审查意见</w:t>
                  </w:r>
                  <w:r>
                    <w:rPr>
                      <w:color w:val="auto"/>
                      <w:szCs w:val="21"/>
                    </w:rPr>
                    <w:t>要求</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2FE0F120">
                  <w:pPr>
                    <w:snapToGrid w:val="0"/>
                    <w:jc w:val="center"/>
                    <w:rPr>
                      <w:color w:val="auto"/>
                      <w:szCs w:val="21"/>
                    </w:rPr>
                  </w:pPr>
                  <w:r>
                    <w:rPr>
                      <w:color w:val="auto"/>
                      <w:szCs w:val="21"/>
                    </w:rPr>
                    <w:t>企业状况</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7545927C">
                  <w:pPr>
                    <w:snapToGrid w:val="0"/>
                    <w:ind w:left="-94" w:leftChars="-45" w:right="-69" w:rightChars="-33"/>
                    <w:jc w:val="center"/>
                    <w:rPr>
                      <w:color w:val="auto"/>
                      <w:szCs w:val="21"/>
                    </w:rPr>
                  </w:pPr>
                  <w:r>
                    <w:rPr>
                      <w:color w:val="auto"/>
                      <w:szCs w:val="21"/>
                    </w:rPr>
                    <w:t>相符性</w:t>
                  </w:r>
                </w:p>
              </w:tc>
            </w:tr>
            <w:tr w14:paraId="487D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75D0915C">
                  <w:pPr>
                    <w:snapToGrid w:val="0"/>
                    <w:jc w:val="center"/>
                    <w:rPr>
                      <w:color w:val="auto"/>
                      <w:szCs w:val="21"/>
                    </w:rPr>
                  </w:pPr>
                  <w:r>
                    <w:rPr>
                      <w:color w:val="auto"/>
                      <w:szCs w:val="21"/>
                    </w:rPr>
                    <w:t>1</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53D381BA">
                  <w:pPr>
                    <w:adjustRightInd w:val="0"/>
                    <w:snapToGrid w:val="0"/>
                    <w:ind w:left="-92" w:leftChars="-44" w:right="-94" w:rightChars="-45"/>
                    <w:jc w:val="center"/>
                    <w:textAlignment w:val="center"/>
                    <w:rPr>
                      <w:color w:val="auto"/>
                      <w:szCs w:val="21"/>
                    </w:rPr>
                  </w:pPr>
                  <w:r>
                    <w:rPr>
                      <w:rFonts w:hint="eastAsia"/>
                      <w:color w:val="auto"/>
                      <w:szCs w:val="21"/>
                    </w:rPr>
                    <w:t>进一步优化区域空</w:t>
                  </w:r>
                  <w:r>
                    <w:rPr>
                      <w:rFonts w:hint="eastAsia"/>
                      <w:color w:val="auto"/>
                      <w:szCs w:val="21"/>
                      <w:lang w:val="en-US" w:eastAsia="zh-CN"/>
                    </w:rPr>
                    <w:t>间</w:t>
                  </w:r>
                  <w:r>
                    <w:rPr>
                      <w:rFonts w:hint="eastAsia"/>
                      <w:color w:val="auto"/>
                      <w:szCs w:val="21"/>
                    </w:rPr>
                    <w:t>布局。根据产业特点，充分考虑教育、居住区域环境要求。优化调整空间布局，减轻和避免各功能区之间、项目之间在环境要求方向的相互影响。合理控制区域周边用地性质，充分考虑入驻工业企业与居住区之间的关系和环境防护距离设置要求，加强对周边环境保护目标的保护。结合规划区域内供水、排水和供气等规划，进一步合理确定开发规模</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40C8FADA">
                  <w:pPr>
                    <w:adjustRightInd w:val="0"/>
                    <w:snapToGrid w:val="0"/>
                    <w:jc w:val="center"/>
                    <w:textAlignment w:val="center"/>
                    <w:rPr>
                      <w:color w:val="auto"/>
                      <w:szCs w:val="21"/>
                    </w:rPr>
                  </w:pPr>
                  <w:r>
                    <w:rPr>
                      <w:color w:val="auto"/>
                      <w:szCs w:val="21"/>
                      <w:highlight w:val="none"/>
                      <w:shd w:val="clear"/>
                    </w:rPr>
                    <w:t>本项目</w:t>
                  </w:r>
                  <w:r>
                    <w:rPr>
                      <w:rFonts w:hint="eastAsia"/>
                      <w:color w:val="auto"/>
                      <w:szCs w:val="21"/>
                      <w:highlight w:val="none"/>
                      <w:shd w:val="clear"/>
                    </w:rPr>
                    <w:t>5</w:t>
                  </w:r>
                  <w:r>
                    <w:rPr>
                      <w:color w:val="auto"/>
                      <w:szCs w:val="21"/>
                      <w:highlight w:val="none"/>
                      <w:shd w:val="clear"/>
                    </w:rPr>
                    <w:t>00m内</w:t>
                  </w:r>
                  <w:r>
                    <w:rPr>
                      <w:rFonts w:hint="eastAsia"/>
                      <w:color w:val="auto"/>
                      <w:szCs w:val="21"/>
                      <w:highlight w:val="none"/>
                      <w:shd w:val="clear"/>
                    </w:rPr>
                    <w:t>无</w:t>
                  </w:r>
                  <w:r>
                    <w:rPr>
                      <w:color w:val="auto"/>
                      <w:szCs w:val="21"/>
                      <w:highlight w:val="none"/>
                      <w:shd w:val="clear"/>
                    </w:rPr>
                    <w:t>保护</w:t>
                  </w:r>
                  <w:r>
                    <w:rPr>
                      <w:rFonts w:hint="eastAsia"/>
                      <w:color w:val="auto"/>
                      <w:szCs w:val="21"/>
                      <w:highlight w:val="none"/>
                      <w:shd w:val="clear"/>
                    </w:rPr>
                    <w:t>目标</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24C6247F">
                  <w:pPr>
                    <w:snapToGrid w:val="0"/>
                    <w:ind w:left="-94" w:leftChars="-45" w:right="-69" w:rightChars="-33"/>
                    <w:jc w:val="center"/>
                    <w:rPr>
                      <w:color w:val="auto"/>
                      <w:szCs w:val="21"/>
                    </w:rPr>
                  </w:pPr>
                  <w:r>
                    <w:rPr>
                      <w:color w:val="auto"/>
                      <w:szCs w:val="21"/>
                    </w:rPr>
                    <w:t>符合</w:t>
                  </w:r>
                </w:p>
              </w:tc>
            </w:tr>
            <w:tr w14:paraId="0B9D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199E782C">
                  <w:pPr>
                    <w:snapToGrid w:val="0"/>
                    <w:jc w:val="center"/>
                    <w:rPr>
                      <w:color w:val="auto"/>
                      <w:szCs w:val="21"/>
                    </w:rPr>
                  </w:pPr>
                  <w:r>
                    <w:rPr>
                      <w:color w:val="auto"/>
                      <w:szCs w:val="21"/>
                    </w:rPr>
                    <w:t>2</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7FE1AC99">
                  <w:pPr>
                    <w:adjustRightInd w:val="0"/>
                    <w:snapToGrid w:val="0"/>
                    <w:ind w:left="-92" w:leftChars="-44" w:right="-94" w:rightChars="-45"/>
                    <w:jc w:val="center"/>
                    <w:textAlignment w:val="center"/>
                    <w:rPr>
                      <w:color w:val="auto"/>
                      <w:szCs w:val="21"/>
                    </w:rPr>
                  </w:pPr>
                  <w:r>
                    <w:rPr>
                      <w:rFonts w:hint="eastAsia"/>
                      <w:color w:val="auto"/>
                      <w:szCs w:val="21"/>
                    </w:rPr>
                    <w:t>强化水资源管理，提高水重复利用率。积极推进企业间、内的资源梯级利用和企业用水总量控制，切实提高水资源利用率。严禁建设国家明令禁止的项目，严格控制高耗水、高耗能、污水排放量大的项目建设；已建和拟入驻建设项目应严格执行水环境保护相关标准和要求</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3EBA5777">
                  <w:pPr>
                    <w:pStyle w:val="23"/>
                    <w:spacing w:line="240" w:lineRule="auto"/>
                    <w:ind w:left="-107" w:leftChars="-51" w:right="-105" w:rightChars="-50"/>
                    <w:jc w:val="center"/>
                    <w:rPr>
                      <w:color w:val="auto"/>
                      <w:szCs w:val="21"/>
                    </w:rPr>
                  </w:pPr>
                  <w:r>
                    <w:rPr>
                      <w:rFonts w:hint="eastAsia"/>
                      <w:snapToGrid w:val="0"/>
                      <w:color w:val="auto"/>
                      <w:kern w:val="0"/>
                      <w:szCs w:val="21"/>
                    </w:rPr>
                    <w:t>本项目不属于</w:t>
                  </w:r>
                  <w:r>
                    <w:rPr>
                      <w:rFonts w:hint="eastAsia"/>
                      <w:color w:val="auto"/>
                      <w:szCs w:val="21"/>
                    </w:rPr>
                    <w:t>高耗水、高耗能、污水排放量大的项目。本项目无生产废水，</w:t>
                  </w:r>
                  <w:r>
                    <w:rPr>
                      <w:rFonts w:hint="eastAsia"/>
                      <w:color w:val="auto"/>
                      <w:szCs w:val="21"/>
                      <w:highlight w:val="none"/>
                    </w:rPr>
                    <w:t>生活污水依托</w:t>
                  </w:r>
                  <w:r>
                    <w:rPr>
                      <w:rFonts w:hint="eastAsia"/>
                      <w:color w:val="auto"/>
                      <w:szCs w:val="21"/>
                      <w:highlight w:val="none"/>
                      <w:lang w:eastAsia="zh-CN"/>
                    </w:rPr>
                    <w:t>厂区</w:t>
                  </w:r>
                  <w:r>
                    <w:rPr>
                      <w:rFonts w:hint="eastAsia"/>
                      <w:color w:val="auto"/>
                      <w:szCs w:val="21"/>
                      <w:highlight w:val="none"/>
                    </w:rPr>
                    <w:t>化粪池和隔油池处理</w:t>
                  </w:r>
                  <w:r>
                    <w:rPr>
                      <w:rFonts w:hint="eastAsia"/>
                      <w:color w:val="auto"/>
                      <w:szCs w:val="21"/>
                    </w:rPr>
                    <w:t>后通过厂区污水管网送往蚌埠市第二污水处理厂处理达《城镇污水处理厂污染物排放标准》（GB18918－2002）一级A标准后排入淮河。</w:t>
                  </w:r>
                  <w:r>
                    <w:rPr>
                      <w:snapToGrid w:val="0"/>
                      <w:color w:val="auto"/>
                      <w:kern w:val="0"/>
                      <w:szCs w:val="21"/>
                    </w:rPr>
                    <w:t>本项目营运过程中消耗一定水、电、气资源等，项目资源消耗量相对区域资源利用总量较少，不涉及资源利用上线</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0551C6AF">
                  <w:pPr>
                    <w:snapToGrid w:val="0"/>
                    <w:ind w:left="-94" w:leftChars="-45" w:right="-69" w:rightChars="-33"/>
                    <w:jc w:val="center"/>
                    <w:rPr>
                      <w:color w:val="auto"/>
                      <w:szCs w:val="21"/>
                    </w:rPr>
                  </w:pPr>
                  <w:r>
                    <w:rPr>
                      <w:color w:val="auto"/>
                      <w:szCs w:val="21"/>
                    </w:rPr>
                    <w:t>符合</w:t>
                  </w:r>
                </w:p>
              </w:tc>
            </w:tr>
            <w:tr w14:paraId="6D7A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5163AF9C">
                  <w:pPr>
                    <w:snapToGrid w:val="0"/>
                    <w:jc w:val="center"/>
                    <w:rPr>
                      <w:color w:val="auto"/>
                      <w:szCs w:val="21"/>
                    </w:rPr>
                  </w:pPr>
                  <w:r>
                    <w:rPr>
                      <w:color w:val="auto"/>
                      <w:szCs w:val="21"/>
                    </w:rPr>
                    <w:t>3</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5E202BD4">
                  <w:pPr>
                    <w:adjustRightInd w:val="0"/>
                    <w:snapToGrid w:val="0"/>
                    <w:jc w:val="center"/>
                    <w:textAlignment w:val="center"/>
                    <w:rPr>
                      <w:color w:val="auto"/>
                      <w:szCs w:val="21"/>
                    </w:rPr>
                  </w:pPr>
                  <w:r>
                    <w:rPr>
                      <w:rFonts w:hint="eastAsia"/>
                      <w:color w:val="auto"/>
                      <w:szCs w:val="21"/>
                    </w:rPr>
                    <w:t>全面落实《安徽省大气污染防治行动计划实施方案》、《蚌埠市大气污染防治行动计划实施方案》各项要求，禁止新建小型燃煤锅炉，</w:t>
                  </w:r>
                  <w:r>
                    <w:rPr>
                      <w:color w:val="auto"/>
                      <w:szCs w:val="21"/>
                    </w:rPr>
                    <w:t xml:space="preserve">2017 </w:t>
                  </w:r>
                  <w:r>
                    <w:rPr>
                      <w:rFonts w:hint="eastAsia"/>
                      <w:color w:val="auto"/>
                      <w:szCs w:val="21"/>
                    </w:rPr>
                    <w:t>年底前淘汰现有小型燃煤锅炉</w:t>
                  </w:r>
                  <w:r>
                    <w:rPr>
                      <w:color w:val="auto"/>
                      <w:szCs w:val="21"/>
                    </w:rPr>
                    <w:t xml:space="preserve"> </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3FF62D86">
                  <w:pPr>
                    <w:adjustRightInd w:val="0"/>
                    <w:snapToGrid w:val="0"/>
                    <w:jc w:val="center"/>
                    <w:textAlignment w:val="center"/>
                    <w:rPr>
                      <w:color w:val="auto"/>
                      <w:szCs w:val="21"/>
                    </w:rPr>
                  </w:pPr>
                  <w:r>
                    <w:rPr>
                      <w:color w:val="auto"/>
                      <w:szCs w:val="21"/>
                    </w:rPr>
                    <w:t>本项目无燃煤锅炉</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3563073D">
                  <w:pPr>
                    <w:snapToGrid w:val="0"/>
                    <w:ind w:left="-94" w:leftChars="-45" w:right="-69" w:rightChars="-33"/>
                    <w:jc w:val="center"/>
                    <w:rPr>
                      <w:color w:val="auto"/>
                      <w:szCs w:val="21"/>
                    </w:rPr>
                  </w:pPr>
                  <w:r>
                    <w:rPr>
                      <w:color w:val="auto"/>
                      <w:szCs w:val="21"/>
                    </w:rPr>
                    <w:t>符合</w:t>
                  </w:r>
                </w:p>
              </w:tc>
            </w:tr>
            <w:tr w14:paraId="5542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0594F0D8">
                  <w:pPr>
                    <w:snapToGrid w:val="0"/>
                    <w:jc w:val="center"/>
                    <w:rPr>
                      <w:color w:val="auto"/>
                      <w:szCs w:val="21"/>
                    </w:rPr>
                  </w:pPr>
                  <w:r>
                    <w:rPr>
                      <w:color w:val="auto"/>
                      <w:szCs w:val="21"/>
                    </w:rPr>
                    <w:t>4</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419F1298">
                  <w:pPr>
                    <w:adjustRightInd w:val="0"/>
                    <w:snapToGrid w:val="0"/>
                    <w:jc w:val="center"/>
                    <w:textAlignment w:val="center"/>
                    <w:rPr>
                      <w:color w:val="auto"/>
                      <w:szCs w:val="21"/>
                    </w:rPr>
                  </w:pPr>
                  <w:r>
                    <w:rPr>
                      <w:rFonts w:hint="eastAsia"/>
                      <w:color w:val="auto"/>
                      <w:szCs w:val="21"/>
                    </w:rPr>
                    <w:t>落实“生态保护保护红线、环境质量底线、资源利用上线和环境准入负面清单”约束，建立项目环评审批与规划环评、现有项目环境管理、区域环境质量联动机制，更好地发挥环评制度从源头防范环境和生态破坏的作用，推进改善规划区域环境质量</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70873A4E">
                  <w:pPr>
                    <w:adjustRightInd w:val="0"/>
                    <w:snapToGrid w:val="0"/>
                    <w:jc w:val="center"/>
                    <w:textAlignment w:val="center"/>
                    <w:rPr>
                      <w:color w:val="auto"/>
                      <w:szCs w:val="21"/>
                    </w:rPr>
                  </w:pPr>
                  <w:r>
                    <w:rPr>
                      <w:color w:val="auto"/>
                      <w:szCs w:val="21"/>
                    </w:rPr>
                    <w:t>本项目位于安徽省蚌埠市龙子湖区</w:t>
                  </w:r>
                  <w:r>
                    <w:rPr>
                      <w:rFonts w:hint="eastAsia"/>
                      <w:color w:val="auto"/>
                      <w:szCs w:val="21"/>
                      <w:lang w:eastAsia="zh-CN"/>
                    </w:rPr>
                    <w:t>高铁工贸园胜利路</w:t>
                  </w:r>
                  <w:r>
                    <w:rPr>
                      <w:rFonts w:hint="eastAsia"/>
                      <w:color w:val="auto"/>
                      <w:szCs w:val="21"/>
                      <w:lang w:val="en-US" w:eastAsia="zh-CN"/>
                    </w:rPr>
                    <w:t>9号（安徽瑞龙玻璃机械股份有限公司厂房</w:t>
                  </w:r>
                  <w:r>
                    <w:rPr>
                      <w:color w:val="auto"/>
                      <w:szCs w:val="21"/>
                    </w:rPr>
                    <w:t>，所在地周边无自然保护区、饮用水源保护区等生态保护目标，故本项目不在生态保护红线范围内</w:t>
                  </w:r>
                  <w:r>
                    <w:rPr>
                      <w:rFonts w:hint="eastAsia"/>
                      <w:color w:val="auto"/>
                      <w:szCs w:val="21"/>
                    </w:rPr>
                    <w:t>，</w:t>
                  </w:r>
                  <w:r>
                    <w:rPr>
                      <w:color w:val="auto"/>
                      <w:szCs w:val="21"/>
                    </w:rPr>
                    <w:t>符合“三线一单”，不属于高耗能、高污染和资源型</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1A4855D4">
                  <w:pPr>
                    <w:snapToGrid w:val="0"/>
                    <w:ind w:left="-94" w:leftChars="-45" w:right="-69" w:rightChars="-33"/>
                    <w:jc w:val="center"/>
                    <w:rPr>
                      <w:color w:val="auto"/>
                      <w:szCs w:val="21"/>
                    </w:rPr>
                  </w:pPr>
                  <w:r>
                    <w:rPr>
                      <w:color w:val="auto"/>
                      <w:szCs w:val="21"/>
                    </w:rPr>
                    <w:t>符合</w:t>
                  </w:r>
                </w:p>
              </w:tc>
            </w:tr>
            <w:tr w14:paraId="002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vAlign w:val="center"/>
                </w:tcPr>
                <w:p w14:paraId="6AF3A1BB">
                  <w:pPr>
                    <w:snapToGrid w:val="0"/>
                    <w:jc w:val="center"/>
                    <w:rPr>
                      <w:color w:val="auto"/>
                      <w:szCs w:val="21"/>
                    </w:rPr>
                  </w:pPr>
                  <w:r>
                    <w:rPr>
                      <w:color w:val="auto"/>
                      <w:szCs w:val="21"/>
                    </w:rPr>
                    <w:t>5</w:t>
                  </w:r>
                </w:p>
              </w:tc>
              <w:tc>
                <w:tcPr>
                  <w:tcW w:w="2021" w:type="pct"/>
                  <w:tcBorders>
                    <w:top w:val="single" w:color="auto" w:sz="4" w:space="0"/>
                    <w:left w:val="single" w:color="auto" w:sz="4" w:space="0"/>
                    <w:bottom w:val="single" w:color="auto" w:sz="4" w:space="0"/>
                    <w:right w:val="single" w:color="auto" w:sz="4" w:space="0"/>
                    <w:tl2br w:val="nil"/>
                    <w:tr2bl w:val="nil"/>
                  </w:tcBorders>
                  <w:vAlign w:val="center"/>
                </w:tcPr>
                <w:p w14:paraId="00A48635">
                  <w:pPr>
                    <w:adjustRightInd w:val="0"/>
                    <w:snapToGrid w:val="0"/>
                    <w:jc w:val="center"/>
                    <w:textAlignment w:val="center"/>
                    <w:rPr>
                      <w:color w:val="auto"/>
                      <w:szCs w:val="21"/>
                    </w:rPr>
                  </w:pPr>
                  <w:r>
                    <w:rPr>
                      <w:rFonts w:hint="eastAsia"/>
                      <w:color w:val="auto"/>
                      <w:szCs w:val="21"/>
                    </w:rPr>
                    <w:t>加强环境保护制度建设和管理。入驻建设项目，应认真履行环境保护相关法律法规要求，严格执行环境影响评价和环保“三同时”制度，新增大气污染物、水污染物和重金属的排放量，应按照污染物排放总量控制的要求严格执行</w:t>
                  </w:r>
                </w:p>
              </w:tc>
              <w:tc>
                <w:tcPr>
                  <w:tcW w:w="2097" w:type="pct"/>
                  <w:tcBorders>
                    <w:top w:val="single" w:color="auto" w:sz="4" w:space="0"/>
                    <w:left w:val="single" w:color="auto" w:sz="4" w:space="0"/>
                    <w:bottom w:val="single" w:color="auto" w:sz="4" w:space="0"/>
                    <w:right w:val="single" w:color="auto" w:sz="4" w:space="0"/>
                    <w:tl2br w:val="nil"/>
                    <w:tr2bl w:val="nil"/>
                  </w:tcBorders>
                  <w:vAlign w:val="center"/>
                </w:tcPr>
                <w:p w14:paraId="41EDF074">
                  <w:pPr>
                    <w:adjustRightInd w:val="0"/>
                    <w:snapToGrid w:val="0"/>
                    <w:jc w:val="center"/>
                    <w:textAlignment w:val="center"/>
                    <w:rPr>
                      <w:color w:val="auto"/>
                      <w:szCs w:val="21"/>
                    </w:rPr>
                  </w:pPr>
                  <w:r>
                    <w:rPr>
                      <w:color w:val="auto"/>
                      <w:szCs w:val="21"/>
                    </w:rPr>
                    <w:t>本环评要求企业严格</w:t>
                  </w:r>
                  <w:r>
                    <w:rPr>
                      <w:rFonts w:hint="eastAsia"/>
                      <w:color w:val="auto"/>
                      <w:szCs w:val="21"/>
                    </w:rPr>
                    <w:t>执行环境影响评价和环保“三同时”制度，新增大气污染物、水污染物的排放量，按照污染物排放总量控制的要求严格执行</w:t>
                  </w:r>
                </w:p>
              </w:tc>
              <w:tc>
                <w:tcPr>
                  <w:tcW w:w="498" w:type="pct"/>
                  <w:tcBorders>
                    <w:top w:val="single" w:color="auto" w:sz="4" w:space="0"/>
                    <w:left w:val="single" w:color="auto" w:sz="4" w:space="0"/>
                    <w:bottom w:val="single" w:color="auto" w:sz="4" w:space="0"/>
                    <w:right w:val="single" w:color="auto" w:sz="4" w:space="0"/>
                    <w:tl2br w:val="nil"/>
                    <w:tr2bl w:val="nil"/>
                  </w:tcBorders>
                  <w:vAlign w:val="center"/>
                </w:tcPr>
                <w:p w14:paraId="7C03BA99">
                  <w:pPr>
                    <w:snapToGrid w:val="0"/>
                    <w:ind w:left="-94" w:leftChars="-45" w:right="-69" w:rightChars="-33"/>
                    <w:jc w:val="center"/>
                    <w:rPr>
                      <w:color w:val="auto"/>
                      <w:szCs w:val="21"/>
                    </w:rPr>
                  </w:pPr>
                  <w:r>
                    <w:rPr>
                      <w:color w:val="auto"/>
                      <w:szCs w:val="21"/>
                    </w:rPr>
                    <w:t>符合</w:t>
                  </w:r>
                </w:p>
              </w:tc>
            </w:tr>
          </w:tbl>
          <w:p w14:paraId="715C173A">
            <w:pPr>
              <w:spacing w:line="500" w:lineRule="exact"/>
              <w:ind w:firstLine="480" w:firstLineChars="200"/>
              <w:rPr>
                <w:color w:val="auto"/>
                <w:sz w:val="24"/>
              </w:rPr>
            </w:pPr>
          </w:p>
        </w:tc>
      </w:tr>
      <w:tr w14:paraId="023F2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right"/>
        </w:trPr>
        <w:tc>
          <w:tcPr>
            <w:tcW w:w="1227" w:type="pct"/>
            <w:vAlign w:val="center"/>
          </w:tcPr>
          <w:p w14:paraId="24C85C5B">
            <w:pPr>
              <w:autoSpaceDE w:val="0"/>
              <w:autoSpaceDN w:val="0"/>
              <w:adjustRightInd w:val="0"/>
              <w:snapToGrid w:val="0"/>
              <w:jc w:val="center"/>
              <w:rPr>
                <w:color w:val="auto"/>
                <w:kern w:val="0"/>
                <w:szCs w:val="21"/>
              </w:rPr>
            </w:pPr>
            <w:r>
              <w:rPr>
                <w:color w:val="auto"/>
                <w:kern w:val="0"/>
                <w:sz w:val="24"/>
              </w:rPr>
              <w:t>其他符合性分析</w:t>
            </w:r>
          </w:p>
        </w:tc>
        <w:tc>
          <w:tcPr>
            <w:tcW w:w="3772" w:type="pct"/>
            <w:gridSpan w:val="3"/>
            <w:vAlign w:val="center"/>
          </w:tcPr>
          <w:p w14:paraId="7418B869">
            <w:pPr>
              <w:spacing w:line="500" w:lineRule="exact"/>
              <w:ind w:firstLine="480" w:firstLineChars="200"/>
              <w:rPr>
                <w:color w:val="auto"/>
                <w:sz w:val="24"/>
              </w:rPr>
            </w:pPr>
            <w:r>
              <w:rPr>
                <w:color w:val="auto"/>
                <w:sz w:val="24"/>
              </w:rPr>
              <w:t>1. 产业政策符合性</w:t>
            </w:r>
          </w:p>
          <w:p w14:paraId="16E91164">
            <w:pPr>
              <w:spacing w:line="500" w:lineRule="exact"/>
              <w:ind w:firstLine="480" w:firstLineChars="200"/>
              <w:rPr>
                <w:color w:val="auto"/>
                <w:sz w:val="24"/>
              </w:rPr>
            </w:pPr>
            <w:r>
              <w:rPr>
                <w:rFonts w:hint="eastAsia" w:ascii="宋体" w:hAnsi="宋体" w:cs="宋体"/>
                <w:color w:val="auto"/>
                <w:sz w:val="24"/>
              </w:rPr>
              <w:t>①</w:t>
            </w:r>
            <w:r>
              <w:rPr>
                <w:color w:val="auto"/>
                <w:sz w:val="24"/>
              </w:rPr>
              <w:t>本项目不属于《产业结构调整指导目录（2019年本）》（中华人民共和国国家发展和改革委员会令第29号）中限制、淘汰内容，</w:t>
            </w:r>
            <w:r>
              <w:rPr>
                <w:rFonts w:hint="eastAsia"/>
                <w:color w:val="auto"/>
                <w:sz w:val="24"/>
              </w:rPr>
              <w:t>可</w:t>
            </w:r>
            <w:r>
              <w:rPr>
                <w:color w:val="auto"/>
                <w:sz w:val="24"/>
              </w:rPr>
              <w:t>视为允许类。</w:t>
            </w:r>
          </w:p>
          <w:p w14:paraId="74A5340E">
            <w:pPr>
              <w:spacing w:line="500" w:lineRule="exact"/>
              <w:ind w:firstLine="480" w:firstLineChars="200"/>
              <w:rPr>
                <w:color w:val="auto"/>
                <w:sz w:val="24"/>
              </w:rPr>
            </w:pPr>
            <w:r>
              <w:rPr>
                <w:rFonts w:hint="eastAsia" w:ascii="宋体" w:hAnsi="宋体" w:cs="宋体"/>
                <w:color w:val="auto"/>
                <w:sz w:val="24"/>
              </w:rPr>
              <w:t>②</w:t>
            </w:r>
            <w:r>
              <w:rPr>
                <w:color w:val="auto"/>
                <w:sz w:val="24"/>
              </w:rPr>
              <w:t>本项目不属于国土资源部、国家发展和改革委员会联合发布实施的《限制用地项目目录（2012年本）》和《禁止用地项目目录（2012 年本）》中限制或禁止内容，因此本项目可视为允许类项目。</w:t>
            </w:r>
          </w:p>
          <w:p w14:paraId="5B88EE34">
            <w:pPr>
              <w:spacing w:line="500" w:lineRule="exact"/>
              <w:ind w:firstLine="480" w:firstLineChars="200"/>
              <w:rPr>
                <w:color w:val="auto"/>
                <w:sz w:val="24"/>
              </w:rPr>
            </w:pPr>
            <w:r>
              <w:rPr>
                <w:rFonts w:hint="eastAsia" w:ascii="宋体" w:hAnsi="宋体" w:cs="宋体"/>
                <w:color w:val="auto"/>
                <w:sz w:val="24"/>
              </w:rPr>
              <w:t>③</w:t>
            </w:r>
            <w:r>
              <w:rPr>
                <w:color w:val="auto"/>
                <w:sz w:val="24"/>
              </w:rPr>
              <w:t>项目已经蚌埠市龙子湖区发展和改革委员会审核同意备案（项目编码：</w:t>
            </w:r>
            <w:r>
              <w:rPr>
                <w:rFonts w:hint="eastAsia"/>
                <w:color w:val="auto"/>
                <w:sz w:val="24"/>
              </w:rPr>
              <w:t>2205-340302-04-01-843346</w:t>
            </w:r>
            <w:r>
              <w:rPr>
                <w:color w:val="auto"/>
                <w:sz w:val="24"/>
              </w:rPr>
              <w:t>），因此，该项目符合国家和地方产业政策。</w:t>
            </w:r>
          </w:p>
          <w:p w14:paraId="7EC4AB7F">
            <w:pPr>
              <w:spacing w:line="500" w:lineRule="exact"/>
              <w:ind w:firstLine="480" w:firstLineChars="200"/>
              <w:rPr>
                <w:color w:val="auto"/>
                <w:sz w:val="24"/>
              </w:rPr>
            </w:pPr>
            <w:r>
              <w:rPr>
                <w:rFonts w:hint="eastAsia" w:ascii="宋体" w:hAnsi="宋体" w:cs="宋体"/>
                <w:color w:val="auto"/>
                <w:sz w:val="24"/>
              </w:rPr>
              <w:t>④</w:t>
            </w:r>
            <w:r>
              <w:rPr>
                <w:color w:val="auto"/>
                <w:sz w:val="24"/>
              </w:rPr>
              <w:t>根据《蚌埠市城市总体规划2012-2030》</w:t>
            </w:r>
            <w:r>
              <w:rPr>
                <w:rFonts w:hint="eastAsia"/>
                <w:color w:val="auto"/>
                <w:kern w:val="0"/>
                <w:sz w:val="24"/>
              </w:rPr>
              <w:t>、</w:t>
            </w:r>
            <w:r>
              <w:rPr>
                <w:color w:val="auto"/>
                <w:kern w:val="0"/>
                <w:sz w:val="24"/>
              </w:rPr>
              <w:t>《蚌埠市龙子湖区高铁工贸园区控制性详细规划环境影响报告书》</w:t>
            </w:r>
            <w:r>
              <w:rPr>
                <w:color w:val="auto"/>
                <w:sz w:val="24"/>
              </w:rPr>
              <w:t>，项目用地为工业用地。</w:t>
            </w:r>
          </w:p>
          <w:p w14:paraId="0CB1264C">
            <w:pPr>
              <w:spacing w:line="500" w:lineRule="atLeast"/>
              <w:ind w:firstLine="480" w:firstLineChars="200"/>
              <w:rPr>
                <w:color w:val="auto"/>
                <w:sz w:val="24"/>
              </w:rPr>
            </w:pPr>
            <w:r>
              <w:rPr>
                <w:color w:val="auto"/>
                <w:sz w:val="24"/>
              </w:rPr>
              <w:t>2</w:t>
            </w:r>
            <w:r>
              <w:rPr>
                <w:rFonts w:hint="eastAsia"/>
                <w:color w:val="auto"/>
                <w:sz w:val="24"/>
              </w:rPr>
              <w:t>、</w:t>
            </w:r>
            <w:r>
              <w:rPr>
                <w:bCs/>
                <w:color w:val="auto"/>
                <w:sz w:val="24"/>
              </w:rPr>
              <w:t>与</w:t>
            </w:r>
            <w:r>
              <w:rPr>
                <w:rFonts w:hint="eastAsia"/>
                <w:color w:val="auto"/>
                <w:sz w:val="24"/>
              </w:rPr>
              <w:t>“安徽省2021年应对气候变化和大气污染防治重点工作任务”</w:t>
            </w:r>
            <w:r>
              <w:rPr>
                <w:rFonts w:hint="eastAsia"/>
                <w:color w:val="auto"/>
              </w:rPr>
              <w:t xml:space="preserve"> </w:t>
            </w:r>
            <w:r>
              <w:rPr>
                <w:rFonts w:hint="eastAsia"/>
                <w:color w:val="auto"/>
                <w:sz w:val="24"/>
              </w:rPr>
              <w:t>（皖大气办函[2021]3号）符合性分析</w:t>
            </w:r>
          </w:p>
          <w:p w14:paraId="4DE191D3">
            <w:pPr>
              <w:spacing w:line="500" w:lineRule="atLeast"/>
              <w:jc w:val="center"/>
              <w:rPr>
                <w:b/>
                <w:color w:val="auto"/>
                <w:sz w:val="24"/>
              </w:rPr>
            </w:pPr>
            <w:r>
              <w:rPr>
                <w:rFonts w:hint="eastAsia"/>
                <w:b/>
                <w:color w:val="auto"/>
                <w:sz w:val="24"/>
              </w:rPr>
              <w:t>表</w:t>
            </w:r>
            <w:r>
              <w:rPr>
                <w:b/>
                <w:color w:val="auto"/>
                <w:sz w:val="24"/>
              </w:rPr>
              <w:t>1-3 “安徽省2021年应对气候变化和大气污染防治重点工作任务” （皖大气办函[2021]3号）符合性分析</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3845"/>
              <w:gridCol w:w="1357"/>
              <w:gridCol w:w="586"/>
            </w:tblGrid>
            <w:tr w14:paraId="11FC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3FE06ABB">
                  <w:pPr>
                    <w:snapToGrid w:val="0"/>
                    <w:ind w:left="-73" w:leftChars="-35" w:right="-94" w:rightChars="-45"/>
                    <w:jc w:val="center"/>
                    <w:rPr>
                      <w:color w:val="auto"/>
                      <w:szCs w:val="21"/>
                    </w:rPr>
                  </w:pPr>
                  <w:r>
                    <w:rPr>
                      <w:color w:val="auto"/>
                      <w:szCs w:val="21"/>
                    </w:rPr>
                    <w:t>序号</w:t>
                  </w:r>
                </w:p>
              </w:tc>
              <w:tc>
                <w:tcPr>
                  <w:tcW w:w="3059" w:type="pct"/>
                  <w:tcBorders>
                    <w:top w:val="single" w:color="auto" w:sz="4" w:space="0"/>
                    <w:left w:val="single" w:color="auto" w:sz="4" w:space="0"/>
                    <w:bottom w:val="single" w:color="auto" w:sz="4" w:space="0"/>
                    <w:right w:val="single" w:color="auto" w:sz="4" w:space="0"/>
                  </w:tcBorders>
                  <w:vAlign w:val="center"/>
                </w:tcPr>
                <w:p w14:paraId="19C50C56">
                  <w:pPr>
                    <w:snapToGrid w:val="0"/>
                    <w:jc w:val="center"/>
                    <w:rPr>
                      <w:color w:val="auto"/>
                      <w:szCs w:val="21"/>
                    </w:rPr>
                  </w:pPr>
                  <w:r>
                    <w:rPr>
                      <w:rFonts w:hint="eastAsia"/>
                      <w:color w:val="auto"/>
                      <w:szCs w:val="21"/>
                    </w:rPr>
                    <w:t>要求</w:t>
                  </w:r>
                  <w:r>
                    <w:rPr>
                      <w:color w:val="auto"/>
                      <w:szCs w:val="21"/>
                    </w:rPr>
                    <w:t>内容</w:t>
                  </w:r>
                </w:p>
              </w:tc>
              <w:tc>
                <w:tcPr>
                  <w:tcW w:w="1079" w:type="pct"/>
                  <w:tcBorders>
                    <w:top w:val="single" w:color="auto" w:sz="4" w:space="0"/>
                    <w:left w:val="single" w:color="auto" w:sz="4" w:space="0"/>
                    <w:bottom w:val="single" w:color="auto" w:sz="4" w:space="0"/>
                    <w:right w:val="single" w:color="auto" w:sz="4" w:space="0"/>
                  </w:tcBorders>
                  <w:vAlign w:val="center"/>
                </w:tcPr>
                <w:p w14:paraId="3A45FAE5">
                  <w:pPr>
                    <w:snapToGrid w:val="0"/>
                    <w:jc w:val="center"/>
                    <w:rPr>
                      <w:color w:val="auto"/>
                      <w:szCs w:val="21"/>
                    </w:rPr>
                  </w:pPr>
                  <w:r>
                    <w:rPr>
                      <w:color w:val="auto"/>
                      <w:szCs w:val="21"/>
                    </w:rPr>
                    <w:t>企业状况</w:t>
                  </w:r>
                </w:p>
              </w:tc>
              <w:tc>
                <w:tcPr>
                  <w:tcW w:w="466" w:type="pct"/>
                  <w:tcBorders>
                    <w:top w:val="single" w:color="auto" w:sz="4" w:space="0"/>
                    <w:left w:val="single" w:color="auto" w:sz="4" w:space="0"/>
                    <w:bottom w:val="single" w:color="auto" w:sz="4" w:space="0"/>
                    <w:right w:val="single" w:color="auto" w:sz="4" w:space="0"/>
                  </w:tcBorders>
                  <w:vAlign w:val="center"/>
                </w:tcPr>
                <w:p w14:paraId="137DABD7">
                  <w:pPr>
                    <w:snapToGrid w:val="0"/>
                    <w:ind w:left="-107" w:leftChars="-51" w:right="-101" w:rightChars="-48"/>
                    <w:jc w:val="center"/>
                    <w:rPr>
                      <w:color w:val="auto"/>
                      <w:szCs w:val="21"/>
                    </w:rPr>
                  </w:pPr>
                  <w:r>
                    <w:rPr>
                      <w:color w:val="auto"/>
                      <w:szCs w:val="21"/>
                    </w:rPr>
                    <w:t>相符性</w:t>
                  </w:r>
                </w:p>
              </w:tc>
            </w:tr>
            <w:tr w14:paraId="7ED8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1C251F5D">
                  <w:pPr>
                    <w:snapToGrid w:val="0"/>
                    <w:jc w:val="center"/>
                    <w:rPr>
                      <w:color w:val="auto"/>
                      <w:szCs w:val="21"/>
                    </w:rPr>
                  </w:pPr>
                  <w:r>
                    <w:rPr>
                      <w:color w:val="auto"/>
                      <w:szCs w:val="21"/>
                    </w:rPr>
                    <w:t>1</w:t>
                  </w:r>
                </w:p>
              </w:tc>
              <w:tc>
                <w:tcPr>
                  <w:tcW w:w="3059" w:type="pct"/>
                  <w:tcBorders>
                    <w:top w:val="single" w:color="auto" w:sz="4" w:space="0"/>
                    <w:left w:val="single" w:color="auto" w:sz="4" w:space="0"/>
                    <w:bottom w:val="single" w:color="auto" w:sz="4" w:space="0"/>
                    <w:right w:val="single" w:color="auto" w:sz="4" w:space="0"/>
                  </w:tcBorders>
                  <w:vAlign w:val="center"/>
                </w:tcPr>
                <w:p w14:paraId="6CA7518F">
                  <w:pPr>
                    <w:snapToGrid w:val="0"/>
                    <w:jc w:val="center"/>
                    <w:rPr>
                      <w:color w:val="auto"/>
                      <w:szCs w:val="21"/>
                    </w:rPr>
                  </w:pPr>
                  <w:r>
                    <w:rPr>
                      <w:color w:val="auto"/>
                      <w:szCs w:val="21"/>
                    </w:rPr>
                    <w:t>优化产业结枸及布局</w:t>
                  </w:r>
                  <w:r>
                    <w:rPr>
                      <w:rFonts w:hint="eastAsia"/>
                      <w:color w:val="auto"/>
                      <w:szCs w:val="21"/>
                    </w:rPr>
                    <w:t>。</w:t>
                  </w:r>
                  <w:r>
                    <w:rPr>
                      <w:color w:val="auto"/>
                      <w:szCs w:val="21"/>
                    </w:rPr>
                    <w:t>对标节能减排要求和碳达峰碳中和目标，坚决遏制高耗能高排放项目盲目发展。提高新建项目节能环保准入标准，加大落后和过剩产能压减力度</w:t>
                  </w:r>
                  <w:r>
                    <w:rPr>
                      <w:rFonts w:hint="eastAsia"/>
                      <w:color w:val="auto"/>
                      <w:szCs w:val="21"/>
                    </w:rPr>
                    <w:t>。</w:t>
                  </w:r>
                  <w:r>
                    <w:rPr>
                      <w:color w:val="auto"/>
                      <w:szCs w:val="21"/>
                    </w:rPr>
                    <w:t>严格执行国家高耗能、髙污染和高资源型行业准入条件，钢铁、水泥熟料、平板玻璃、炼化、焦化、铝冶炼等新、扩建项目严格实施产能减量置换，未纳入国家规划的石化、煤化工等项目不再新建。加快推动沿江地区制造业绿色发展，形成一批国内领先的绿色工厂、绿色产品、绿色园区、绿色供应链。以清洁生产一级水平为标杆，加快传统产业技术改造，推动我省长三角中心区内</w:t>
                  </w:r>
                  <w:r>
                    <w:rPr>
                      <w:rFonts w:hint="eastAsia"/>
                      <w:color w:val="auto"/>
                      <w:szCs w:val="21"/>
                    </w:rPr>
                    <w:t>8</w:t>
                  </w:r>
                  <w:r>
                    <w:rPr>
                      <w:color w:val="auto"/>
                      <w:szCs w:val="21"/>
                    </w:rPr>
                    <w:t>市钢铁、石化、有色金属、建材、船舶、纺织印染、酿造等传统产业绿色转型。严格按照《产业结构调整指导目录》，支持发展先进产能，依法淘汰落后产能，建立“散乱污”企业动态管理机制，坚决杜绝“散乱污"企业异地转移，严防死灰复燃。</w:t>
                  </w:r>
                </w:p>
              </w:tc>
              <w:tc>
                <w:tcPr>
                  <w:tcW w:w="1079" w:type="pct"/>
                  <w:tcBorders>
                    <w:top w:val="single" w:color="auto" w:sz="4" w:space="0"/>
                    <w:left w:val="single" w:color="auto" w:sz="4" w:space="0"/>
                    <w:bottom w:val="single" w:color="auto" w:sz="4" w:space="0"/>
                    <w:right w:val="single" w:color="auto" w:sz="4" w:space="0"/>
                  </w:tcBorders>
                  <w:vAlign w:val="center"/>
                </w:tcPr>
                <w:p w14:paraId="2F51CFB7">
                  <w:pPr>
                    <w:snapToGrid w:val="0"/>
                    <w:ind w:left="-99" w:leftChars="-47" w:right="-63" w:rightChars="-30"/>
                    <w:jc w:val="center"/>
                    <w:rPr>
                      <w:color w:val="auto"/>
                      <w:szCs w:val="21"/>
                    </w:rPr>
                  </w:pPr>
                  <w:r>
                    <w:rPr>
                      <w:color w:val="auto"/>
                      <w:szCs w:val="21"/>
                    </w:rPr>
                    <w:t>本项目属于</w:t>
                  </w:r>
                  <w:r>
                    <w:rPr>
                      <w:rFonts w:hint="eastAsia"/>
                      <w:color w:val="auto"/>
                      <w:szCs w:val="21"/>
                    </w:rPr>
                    <w:t>非金属矿物制品业，不</w:t>
                  </w:r>
                  <w:r>
                    <w:rPr>
                      <w:color w:val="auto"/>
                      <w:szCs w:val="21"/>
                    </w:rPr>
                    <w:t>属于</w:t>
                  </w:r>
                  <w:r>
                    <w:rPr>
                      <w:rFonts w:hint="eastAsia"/>
                      <w:color w:val="auto"/>
                      <w:szCs w:val="21"/>
                    </w:rPr>
                    <w:t>《产业结构调整指导目录（2019年本）》（中华人民共和国国家发展和改革委员会令第29号）中限制、淘汰内容，本项目可视为允许类。</w:t>
                  </w:r>
                  <w:r>
                    <w:rPr>
                      <w:color w:val="auto"/>
                      <w:szCs w:val="21"/>
                    </w:rPr>
                    <w:t>本项目位于</w:t>
                  </w:r>
                  <w:r>
                    <w:rPr>
                      <w:rFonts w:hint="eastAsia"/>
                      <w:color w:val="auto"/>
                      <w:szCs w:val="21"/>
                    </w:rPr>
                    <w:t>蚌埠市龙子湖区高铁工贸园区，不属于</w:t>
                  </w:r>
                  <w:r>
                    <w:rPr>
                      <w:color w:val="auto"/>
                      <w:szCs w:val="21"/>
                    </w:rPr>
                    <w:t>“散乱污"企业</w:t>
                  </w:r>
                </w:p>
              </w:tc>
              <w:tc>
                <w:tcPr>
                  <w:tcW w:w="466" w:type="pct"/>
                  <w:tcBorders>
                    <w:top w:val="single" w:color="auto" w:sz="4" w:space="0"/>
                    <w:left w:val="single" w:color="auto" w:sz="4" w:space="0"/>
                    <w:bottom w:val="single" w:color="auto" w:sz="4" w:space="0"/>
                    <w:right w:val="single" w:color="auto" w:sz="4" w:space="0"/>
                  </w:tcBorders>
                  <w:vAlign w:val="center"/>
                </w:tcPr>
                <w:p w14:paraId="76BE7546">
                  <w:pPr>
                    <w:snapToGrid w:val="0"/>
                    <w:jc w:val="center"/>
                    <w:rPr>
                      <w:color w:val="auto"/>
                      <w:szCs w:val="21"/>
                    </w:rPr>
                  </w:pPr>
                  <w:r>
                    <w:rPr>
                      <w:color w:val="auto"/>
                      <w:szCs w:val="21"/>
                    </w:rPr>
                    <w:t>符合</w:t>
                  </w:r>
                </w:p>
              </w:tc>
            </w:tr>
            <w:tr w14:paraId="550D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473410C7">
                  <w:pPr>
                    <w:snapToGrid w:val="0"/>
                    <w:jc w:val="center"/>
                    <w:rPr>
                      <w:color w:val="auto"/>
                      <w:szCs w:val="21"/>
                    </w:rPr>
                  </w:pPr>
                  <w:r>
                    <w:rPr>
                      <w:color w:val="auto"/>
                      <w:szCs w:val="21"/>
                    </w:rPr>
                    <w:t>2</w:t>
                  </w:r>
                </w:p>
              </w:tc>
              <w:tc>
                <w:tcPr>
                  <w:tcW w:w="3059" w:type="pct"/>
                  <w:tcBorders>
                    <w:top w:val="single" w:color="auto" w:sz="4" w:space="0"/>
                    <w:left w:val="single" w:color="auto" w:sz="4" w:space="0"/>
                    <w:bottom w:val="single" w:color="auto" w:sz="4" w:space="0"/>
                    <w:right w:val="single" w:color="auto" w:sz="4" w:space="0"/>
                  </w:tcBorders>
                  <w:vAlign w:val="center"/>
                </w:tcPr>
                <w:p w14:paraId="4D531F1A">
                  <w:pPr>
                    <w:snapToGrid w:val="0"/>
                    <w:jc w:val="center"/>
                    <w:rPr>
                      <w:color w:val="auto"/>
                      <w:szCs w:val="21"/>
                    </w:rPr>
                  </w:pPr>
                  <w:r>
                    <w:rPr>
                      <w:color w:val="auto"/>
                      <w:szCs w:val="21"/>
                    </w:rPr>
                    <w:t>加快区域产业调整</w:t>
                  </w:r>
                  <w:r>
                    <w:rPr>
                      <w:rFonts w:hint="eastAsia"/>
                      <w:color w:val="auto"/>
                      <w:szCs w:val="21"/>
                    </w:rPr>
                    <w:t>。</w:t>
                  </w:r>
                  <w:r>
                    <w:rPr>
                      <w:color w:val="auto"/>
                      <w:szCs w:val="21"/>
                    </w:rPr>
                    <w:t>加快推进城市建成区重污染企业搬迁改造、兼并重组、转型升级或关闭退出，继续推动实施水泥、钢铁、玻璃、焦化、化工等重污染企业搬迁工程。沿江城市要全面落实“1515”三道防线和“禁新建、减存量、关污源、进园区、建新绿、纳统管、强机制”七项举措，推进化工企业关闭或搬迁至合规园区。</w:t>
                  </w:r>
                </w:p>
              </w:tc>
              <w:tc>
                <w:tcPr>
                  <w:tcW w:w="1079" w:type="pct"/>
                  <w:tcBorders>
                    <w:top w:val="single" w:color="auto" w:sz="4" w:space="0"/>
                    <w:left w:val="single" w:color="auto" w:sz="4" w:space="0"/>
                    <w:bottom w:val="single" w:color="auto" w:sz="4" w:space="0"/>
                    <w:right w:val="single" w:color="auto" w:sz="4" w:space="0"/>
                  </w:tcBorders>
                  <w:vAlign w:val="center"/>
                </w:tcPr>
                <w:p w14:paraId="02DD0EDB">
                  <w:pPr>
                    <w:snapToGrid w:val="0"/>
                    <w:jc w:val="center"/>
                    <w:rPr>
                      <w:color w:val="auto"/>
                      <w:szCs w:val="21"/>
                    </w:rPr>
                  </w:pPr>
                  <w:r>
                    <w:rPr>
                      <w:color w:val="auto"/>
                      <w:szCs w:val="21"/>
                    </w:rPr>
                    <w:t>本项目属于</w:t>
                  </w:r>
                  <w:r>
                    <w:rPr>
                      <w:rFonts w:hint="eastAsia"/>
                      <w:color w:val="auto"/>
                      <w:szCs w:val="21"/>
                    </w:rPr>
                    <w:t>非金属矿物制品业</w:t>
                  </w:r>
                </w:p>
              </w:tc>
              <w:tc>
                <w:tcPr>
                  <w:tcW w:w="466" w:type="pct"/>
                  <w:tcBorders>
                    <w:top w:val="single" w:color="auto" w:sz="4" w:space="0"/>
                    <w:left w:val="single" w:color="auto" w:sz="4" w:space="0"/>
                    <w:bottom w:val="single" w:color="auto" w:sz="4" w:space="0"/>
                    <w:right w:val="single" w:color="auto" w:sz="4" w:space="0"/>
                  </w:tcBorders>
                  <w:vAlign w:val="center"/>
                </w:tcPr>
                <w:p w14:paraId="586E3E98">
                  <w:pPr>
                    <w:snapToGrid w:val="0"/>
                    <w:jc w:val="center"/>
                    <w:rPr>
                      <w:color w:val="auto"/>
                      <w:szCs w:val="21"/>
                    </w:rPr>
                  </w:pPr>
                  <w:r>
                    <w:rPr>
                      <w:color w:val="auto"/>
                      <w:szCs w:val="21"/>
                    </w:rPr>
                    <w:t>符合</w:t>
                  </w:r>
                </w:p>
              </w:tc>
            </w:tr>
            <w:tr w14:paraId="6E2C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32B937B0">
                  <w:pPr>
                    <w:snapToGrid w:val="0"/>
                    <w:jc w:val="center"/>
                    <w:rPr>
                      <w:color w:val="auto"/>
                      <w:szCs w:val="21"/>
                    </w:rPr>
                  </w:pPr>
                  <w:r>
                    <w:rPr>
                      <w:color w:val="auto"/>
                      <w:szCs w:val="21"/>
                    </w:rPr>
                    <w:t>3</w:t>
                  </w:r>
                </w:p>
              </w:tc>
              <w:tc>
                <w:tcPr>
                  <w:tcW w:w="3059" w:type="pct"/>
                  <w:tcBorders>
                    <w:top w:val="single" w:color="auto" w:sz="4" w:space="0"/>
                    <w:left w:val="single" w:color="auto" w:sz="4" w:space="0"/>
                    <w:bottom w:val="single" w:color="auto" w:sz="4" w:space="0"/>
                    <w:right w:val="single" w:color="auto" w:sz="4" w:space="0"/>
                  </w:tcBorders>
                  <w:vAlign w:val="center"/>
                </w:tcPr>
                <w:p w14:paraId="6B382C11">
                  <w:pPr>
                    <w:snapToGrid w:val="0"/>
                    <w:rPr>
                      <w:color w:val="auto"/>
                      <w:szCs w:val="21"/>
                      <w:lang w:bidi="zh-TW"/>
                    </w:rPr>
                  </w:pPr>
                  <w:r>
                    <w:rPr>
                      <w:color w:val="auto"/>
                      <w:szCs w:val="21"/>
                      <w:lang w:bidi="zh-TW"/>
                    </w:rPr>
                    <w:t>推进重点行业提标改造</w:t>
                  </w:r>
                  <w:r>
                    <w:rPr>
                      <w:rFonts w:hint="eastAsia"/>
                      <w:color w:val="auto"/>
                      <w:szCs w:val="21"/>
                      <w:lang w:bidi="zh-TW"/>
                    </w:rPr>
                    <w:t>。</w:t>
                  </w:r>
                  <w:r>
                    <w:rPr>
                      <w:color w:val="auto"/>
                      <w:szCs w:val="21"/>
                      <w:lang w:bidi="zh-TW"/>
                    </w:rPr>
                    <w:t>鼓励电力行业实施超净排放改造，其他行业参照重污染天气应急减排指南</w:t>
                  </w:r>
                  <w:r>
                    <w:rPr>
                      <w:color w:val="auto"/>
                      <w:szCs w:val="21"/>
                      <w:lang w:bidi="en-US"/>
                    </w:rPr>
                    <w:t>B</w:t>
                  </w:r>
                  <w:r>
                    <w:rPr>
                      <w:color w:val="auto"/>
                      <w:szCs w:val="21"/>
                      <w:lang w:bidi="zh-TW"/>
                    </w:rPr>
                    <w:t>级以上绩效开展提标改造。制定安徽省玻璃等行业大气污染物排放标准，推动建材类企业提标改造；已纳入排污许可证管理的铸造、砖瓦、胶合板等行业企业，开展整合升级改造示范；未纳入排污许可证的企业依法责令停产整治直至停业关闭。</w:t>
                  </w:r>
                </w:p>
              </w:tc>
              <w:tc>
                <w:tcPr>
                  <w:tcW w:w="1079" w:type="pct"/>
                  <w:tcBorders>
                    <w:top w:val="single" w:color="auto" w:sz="4" w:space="0"/>
                    <w:left w:val="single" w:color="auto" w:sz="4" w:space="0"/>
                    <w:bottom w:val="single" w:color="auto" w:sz="4" w:space="0"/>
                    <w:right w:val="single" w:color="auto" w:sz="4" w:space="0"/>
                  </w:tcBorders>
                  <w:vAlign w:val="center"/>
                </w:tcPr>
                <w:p w14:paraId="2B96135B">
                  <w:pPr>
                    <w:snapToGrid w:val="0"/>
                    <w:ind w:left="-107" w:leftChars="-51" w:right="-59" w:rightChars="-28"/>
                    <w:jc w:val="center"/>
                    <w:rPr>
                      <w:color w:val="auto"/>
                      <w:szCs w:val="21"/>
                    </w:rPr>
                  </w:pPr>
                  <w:r>
                    <w:rPr>
                      <w:color w:val="auto"/>
                      <w:szCs w:val="21"/>
                    </w:rPr>
                    <w:t>本项目</w:t>
                  </w:r>
                  <w:r>
                    <w:rPr>
                      <w:color w:val="auto"/>
                      <w:szCs w:val="21"/>
                      <w:lang w:bidi="zh-TW"/>
                    </w:rPr>
                    <w:t>参照重污染天气应急减排指南</w:t>
                  </w:r>
                  <w:r>
                    <w:rPr>
                      <w:color w:val="auto"/>
                      <w:szCs w:val="21"/>
                      <w:lang w:bidi="en-US"/>
                    </w:rPr>
                    <w:t>B</w:t>
                  </w:r>
                  <w:r>
                    <w:rPr>
                      <w:color w:val="auto"/>
                      <w:szCs w:val="21"/>
                      <w:lang w:bidi="zh-TW"/>
                    </w:rPr>
                    <w:t>级以上绩效开展</w:t>
                  </w:r>
                  <w:r>
                    <w:rPr>
                      <w:rFonts w:hint="eastAsia"/>
                      <w:color w:val="auto"/>
                      <w:szCs w:val="21"/>
                      <w:lang w:bidi="zh-TW"/>
                    </w:rPr>
                    <w:t>建设</w:t>
                  </w:r>
                </w:p>
              </w:tc>
              <w:tc>
                <w:tcPr>
                  <w:tcW w:w="466" w:type="pct"/>
                  <w:tcBorders>
                    <w:top w:val="single" w:color="auto" w:sz="4" w:space="0"/>
                    <w:left w:val="single" w:color="auto" w:sz="4" w:space="0"/>
                    <w:bottom w:val="single" w:color="auto" w:sz="4" w:space="0"/>
                    <w:right w:val="single" w:color="auto" w:sz="4" w:space="0"/>
                  </w:tcBorders>
                  <w:vAlign w:val="center"/>
                </w:tcPr>
                <w:p w14:paraId="5E9FE689">
                  <w:pPr>
                    <w:snapToGrid w:val="0"/>
                    <w:jc w:val="center"/>
                    <w:rPr>
                      <w:color w:val="auto"/>
                      <w:szCs w:val="21"/>
                    </w:rPr>
                  </w:pPr>
                  <w:r>
                    <w:rPr>
                      <w:color w:val="auto"/>
                      <w:szCs w:val="21"/>
                    </w:rPr>
                    <w:t>符合</w:t>
                  </w:r>
                </w:p>
              </w:tc>
            </w:tr>
            <w:tr w14:paraId="5AAF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3CB7DA1F">
                  <w:pPr>
                    <w:snapToGrid w:val="0"/>
                    <w:jc w:val="center"/>
                    <w:rPr>
                      <w:color w:val="auto"/>
                      <w:szCs w:val="21"/>
                    </w:rPr>
                  </w:pPr>
                  <w:r>
                    <w:rPr>
                      <w:color w:val="auto"/>
                      <w:szCs w:val="21"/>
                    </w:rPr>
                    <w:t>4</w:t>
                  </w:r>
                </w:p>
              </w:tc>
              <w:tc>
                <w:tcPr>
                  <w:tcW w:w="3059" w:type="pct"/>
                  <w:tcBorders>
                    <w:top w:val="single" w:color="auto" w:sz="4" w:space="0"/>
                    <w:left w:val="single" w:color="auto" w:sz="4" w:space="0"/>
                    <w:bottom w:val="single" w:color="auto" w:sz="4" w:space="0"/>
                    <w:right w:val="single" w:color="auto" w:sz="4" w:space="0"/>
                  </w:tcBorders>
                  <w:vAlign w:val="center"/>
                </w:tcPr>
                <w:p w14:paraId="10E0178D">
                  <w:pPr>
                    <w:snapToGrid w:val="0"/>
                    <w:jc w:val="center"/>
                    <w:rPr>
                      <w:color w:val="auto"/>
                      <w:szCs w:val="21"/>
                    </w:rPr>
                  </w:pPr>
                  <w:r>
                    <w:rPr>
                      <w:color w:val="auto"/>
                      <w:szCs w:val="21"/>
                    </w:rPr>
                    <w:t>开展锅炉炉窑深度治理</w:t>
                  </w:r>
                  <w:r>
                    <w:rPr>
                      <w:rFonts w:hint="eastAsia"/>
                      <w:color w:val="auto"/>
                      <w:szCs w:val="21"/>
                    </w:rPr>
                    <w:t>。</w:t>
                  </w:r>
                  <w:r>
                    <w:rPr>
                      <w:color w:val="auto"/>
                      <w:szCs w:val="21"/>
                    </w:rPr>
                    <w:t>进一步摸排清理现有燃煤小热电和燃煤锅炉，确保区域内35蒸吨/小时以下燃煤锅炉清零。加快推进30万千瓦及以上热电联产机组供热半径30公里范围内燃煤锅炉和低效燃煤小热电关停整合，积极推进陶瓷、玻璃、铸造等行业清洁燃料替代工程；清理整治无法稳定达标排放的工业炉窑锅炉，取缔不达标燃料类煤气发生炉；4月底前，摸排全省生物质锅炉并建立台账，推进建成区生物质锅炉超低排放改造，淘汰不能稳定达标的生物质锅炉。</w:t>
                  </w:r>
                </w:p>
              </w:tc>
              <w:tc>
                <w:tcPr>
                  <w:tcW w:w="1079" w:type="pct"/>
                  <w:tcBorders>
                    <w:top w:val="single" w:color="auto" w:sz="4" w:space="0"/>
                    <w:left w:val="single" w:color="auto" w:sz="4" w:space="0"/>
                    <w:bottom w:val="single" w:color="auto" w:sz="4" w:space="0"/>
                    <w:right w:val="single" w:color="auto" w:sz="4" w:space="0"/>
                  </w:tcBorders>
                  <w:vAlign w:val="center"/>
                </w:tcPr>
                <w:p w14:paraId="49B68821">
                  <w:pPr>
                    <w:snapToGrid w:val="0"/>
                    <w:jc w:val="center"/>
                    <w:rPr>
                      <w:color w:val="auto"/>
                      <w:szCs w:val="21"/>
                    </w:rPr>
                  </w:pPr>
                  <w:r>
                    <w:rPr>
                      <w:color w:val="auto"/>
                      <w:szCs w:val="21"/>
                    </w:rPr>
                    <w:t>本项目无燃煤锅炉</w:t>
                  </w:r>
                </w:p>
              </w:tc>
              <w:tc>
                <w:tcPr>
                  <w:tcW w:w="466" w:type="pct"/>
                  <w:tcBorders>
                    <w:top w:val="single" w:color="auto" w:sz="4" w:space="0"/>
                    <w:left w:val="single" w:color="auto" w:sz="4" w:space="0"/>
                    <w:bottom w:val="single" w:color="auto" w:sz="4" w:space="0"/>
                    <w:right w:val="single" w:color="auto" w:sz="4" w:space="0"/>
                  </w:tcBorders>
                  <w:vAlign w:val="center"/>
                </w:tcPr>
                <w:p w14:paraId="734C67CD">
                  <w:pPr>
                    <w:snapToGrid w:val="0"/>
                    <w:jc w:val="center"/>
                    <w:rPr>
                      <w:color w:val="auto"/>
                      <w:szCs w:val="21"/>
                    </w:rPr>
                  </w:pPr>
                  <w:r>
                    <w:rPr>
                      <w:color w:val="auto"/>
                      <w:szCs w:val="21"/>
                    </w:rPr>
                    <w:t>符合</w:t>
                  </w:r>
                </w:p>
              </w:tc>
            </w:tr>
            <w:tr w14:paraId="03A9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3210F465">
                  <w:pPr>
                    <w:snapToGrid w:val="0"/>
                    <w:jc w:val="center"/>
                    <w:rPr>
                      <w:color w:val="auto"/>
                      <w:szCs w:val="21"/>
                    </w:rPr>
                  </w:pPr>
                  <w:r>
                    <w:rPr>
                      <w:color w:val="auto"/>
                      <w:szCs w:val="21"/>
                    </w:rPr>
                    <w:t>5</w:t>
                  </w:r>
                </w:p>
              </w:tc>
              <w:tc>
                <w:tcPr>
                  <w:tcW w:w="3059" w:type="pct"/>
                  <w:tcBorders>
                    <w:top w:val="single" w:color="auto" w:sz="4" w:space="0"/>
                    <w:left w:val="single" w:color="auto" w:sz="4" w:space="0"/>
                    <w:bottom w:val="single" w:color="auto" w:sz="4" w:space="0"/>
                    <w:right w:val="single" w:color="auto" w:sz="4" w:space="0"/>
                  </w:tcBorders>
                  <w:vAlign w:val="center"/>
                </w:tcPr>
                <w:p w14:paraId="69A03658">
                  <w:pPr>
                    <w:snapToGrid w:val="0"/>
                    <w:jc w:val="center"/>
                    <w:rPr>
                      <w:color w:val="auto"/>
                      <w:szCs w:val="21"/>
                    </w:rPr>
                  </w:pPr>
                  <w:r>
                    <w:rPr>
                      <w:color w:val="auto"/>
                      <w:szCs w:val="21"/>
                    </w:rPr>
                    <w:t>加快推动VOCs精细化治理</w:t>
                  </w:r>
                  <w:r>
                    <w:rPr>
                      <w:rFonts w:hint="eastAsia"/>
                      <w:color w:val="auto"/>
                      <w:szCs w:val="21"/>
                    </w:rPr>
                    <w:t>。</w:t>
                  </w:r>
                  <w:r>
                    <w:rPr>
                      <w:color w:val="auto"/>
                      <w:szCs w:val="21"/>
                    </w:rPr>
                    <w:t>实施VOCs产品源头替代工程，严格落实《油墨中可挥发性有机化合物含量的限值》等国家产品VOCs含量限值标准，推进家具制造、汽车制造、印刷和记录媒介、橡胶和塑料制品等行业低VOCs含量原辅材料替代</w:t>
                  </w:r>
                  <w:r>
                    <w:rPr>
                      <w:rFonts w:hint="eastAsia"/>
                      <w:color w:val="auto"/>
                      <w:szCs w:val="21"/>
                    </w:rPr>
                    <w:t>。</w:t>
                  </w:r>
                  <w:r>
                    <w:rPr>
                      <w:color w:val="auto"/>
                      <w:szCs w:val="21"/>
                    </w:rPr>
                    <w:t>实施重点企业VOCs综合治理工程，编制执行“一企一策"，推进治污设施改造升级。继续加强无组织排放管控</w:t>
                  </w:r>
                  <w:r>
                    <w:rPr>
                      <w:rFonts w:hint="eastAsia"/>
                      <w:color w:val="auto"/>
                      <w:szCs w:val="21"/>
                    </w:rPr>
                    <w:t xml:space="preserve"> </w:t>
                  </w:r>
                </w:p>
              </w:tc>
              <w:tc>
                <w:tcPr>
                  <w:tcW w:w="1079" w:type="pct"/>
                  <w:tcBorders>
                    <w:top w:val="single" w:color="auto" w:sz="4" w:space="0"/>
                    <w:left w:val="single" w:color="auto" w:sz="4" w:space="0"/>
                    <w:bottom w:val="single" w:color="auto" w:sz="4" w:space="0"/>
                    <w:right w:val="single" w:color="auto" w:sz="4" w:space="0"/>
                  </w:tcBorders>
                  <w:vAlign w:val="center"/>
                </w:tcPr>
                <w:p w14:paraId="150EA7A3">
                  <w:pPr>
                    <w:snapToGrid w:val="0"/>
                    <w:ind w:left="-99" w:leftChars="-47" w:right="-63" w:rightChars="-30"/>
                    <w:jc w:val="center"/>
                    <w:rPr>
                      <w:color w:val="auto"/>
                      <w:szCs w:val="21"/>
                      <w:highlight w:val="none"/>
                    </w:rPr>
                  </w:pPr>
                  <w:r>
                    <w:rPr>
                      <w:color w:val="auto"/>
                      <w:szCs w:val="21"/>
                      <w:highlight w:val="none"/>
                    </w:rPr>
                    <w:t>本项目</w:t>
                  </w:r>
                  <w:r>
                    <w:rPr>
                      <w:rFonts w:hint="eastAsia"/>
                      <w:color w:val="auto"/>
                      <w:szCs w:val="21"/>
                      <w:highlight w:val="none"/>
                      <w:lang w:eastAsia="zh-CN"/>
                    </w:rPr>
                    <w:t>所使用的原辅材料均不含</w:t>
                  </w:r>
                  <w:r>
                    <w:rPr>
                      <w:rFonts w:hint="eastAsia"/>
                      <w:color w:val="auto"/>
                      <w:szCs w:val="21"/>
                      <w:highlight w:val="none"/>
                      <w:lang w:val="en-US" w:eastAsia="zh-CN"/>
                    </w:rPr>
                    <w:t>VOCs，废气主要为粉尘，不涉及VOCs排放</w:t>
                  </w:r>
                </w:p>
              </w:tc>
              <w:tc>
                <w:tcPr>
                  <w:tcW w:w="466" w:type="pct"/>
                  <w:tcBorders>
                    <w:top w:val="single" w:color="auto" w:sz="4" w:space="0"/>
                    <w:left w:val="single" w:color="auto" w:sz="4" w:space="0"/>
                    <w:bottom w:val="single" w:color="auto" w:sz="4" w:space="0"/>
                    <w:right w:val="single" w:color="auto" w:sz="4" w:space="0"/>
                  </w:tcBorders>
                  <w:vAlign w:val="center"/>
                </w:tcPr>
                <w:p w14:paraId="5F4E9A7C">
                  <w:pPr>
                    <w:snapToGrid w:val="0"/>
                    <w:jc w:val="center"/>
                    <w:rPr>
                      <w:color w:val="auto"/>
                      <w:szCs w:val="21"/>
                    </w:rPr>
                  </w:pPr>
                  <w:r>
                    <w:rPr>
                      <w:color w:val="auto"/>
                      <w:szCs w:val="21"/>
                    </w:rPr>
                    <w:t>符合</w:t>
                  </w:r>
                </w:p>
              </w:tc>
            </w:tr>
          </w:tbl>
          <w:p w14:paraId="335B073A">
            <w:pPr>
              <w:spacing w:line="500" w:lineRule="exact"/>
              <w:ind w:firstLine="420" w:firstLineChars="200"/>
              <w:rPr>
                <w:bCs/>
                <w:color w:val="auto"/>
                <w:sz w:val="24"/>
              </w:rPr>
            </w:pPr>
            <w:r>
              <w:rPr>
                <w:rFonts w:hint="eastAsia"/>
                <w:color w:val="auto"/>
                <w:lang w:val="en-US" w:eastAsia="zh-CN"/>
              </w:rPr>
              <w:t>3</w:t>
            </w:r>
            <w:r>
              <w:rPr>
                <w:color w:val="auto"/>
              </w:rPr>
              <w:t>、</w:t>
            </w:r>
            <w:r>
              <w:rPr>
                <w:bCs/>
                <w:color w:val="auto"/>
                <w:sz w:val="24"/>
              </w:rPr>
              <w:t>与</w:t>
            </w:r>
            <w:r>
              <w:rPr>
                <w:rFonts w:hint="eastAsia"/>
                <w:bCs/>
                <w:color w:val="auto"/>
                <w:sz w:val="24"/>
              </w:rPr>
              <w:t>《安徽省2021-2022年秋冬季大气污染综合治理攻坚行动方案》</w:t>
            </w:r>
            <w:r>
              <w:rPr>
                <w:bCs/>
                <w:color w:val="auto"/>
                <w:sz w:val="24"/>
              </w:rPr>
              <w:t>相符性分析</w:t>
            </w:r>
          </w:p>
          <w:p w14:paraId="4E139473">
            <w:pPr>
              <w:spacing w:line="500" w:lineRule="exact"/>
              <w:ind w:left="-107" w:leftChars="-51" w:right="-128" w:rightChars="-61"/>
              <w:jc w:val="center"/>
              <w:rPr>
                <w:b/>
                <w:bCs/>
                <w:color w:val="auto"/>
                <w:sz w:val="24"/>
              </w:rPr>
            </w:pPr>
            <w:r>
              <w:rPr>
                <w:b/>
                <w:color w:val="auto"/>
                <w:sz w:val="24"/>
              </w:rPr>
              <w:t>表1-</w:t>
            </w:r>
            <w:r>
              <w:rPr>
                <w:rFonts w:hint="eastAsia"/>
                <w:b/>
                <w:color w:val="auto"/>
                <w:sz w:val="24"/>
                <w:lang w:val="en-US" w:eastAsia="zh-CN"/>
              </w:rPr>
              <w:t>4</w:t>
            </w:r>
            <w:r>
              <w:rPr>
                <w:b/>
                <w:color w:val="auto"/>
                <w:sz w:val="24"/>
              </w:rPr>
              <w:t xml:space="preserve">  </w:t>
            </w:r>
            <w:r>
              <w:rPr>
                <w:rFonts w:hint="eastAsia"/>
                <w:b/>
                <w:bCs/>
                <w:color w:val="auto"/>
                <w:sz w:val="24"/>
              </w:rPr>
              <w:t>《安徽省2021-2022年秋冬季大气污染综合治理攻坚行动方案》</w:t>
            </w:r>
            <w:r>
              <w:rPr>
                <w:b/>
                <w:bCs/>
                <w:color w:val="auto"/>
                <w:sz w:val="24"/>
              </w:rPr>
              <w:t>相符性分析</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4442"/>
              <w:gridCol w:w="759"/>
              <w:gridCol w:w="585"/>
            </w:tblGrid>
            <w:tr w14:paraId="4C49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vAlign w:val="center"/>
                </w:tcPr>
                <w:p w14:paraId="242246E0">
                  <w:pPr>
                    <w:snapToGrid w:val="0"/>
                    <w:ind w:left="-73" w:leftChars="-35" w:right="-94" w:rightChars="-45"/>
                    <w:jc w:val="center"/>
                    <w:rPr>
                      <w:color w:val="auto"/>
                    </w:rPr>
                  </w:pPr>
                  <w:r>
                    <w:rPr>
                      <w:color w:val="auto"/>
                    </w:rPr>
                    <w:t>序号</w:t>
                  </w:r>
                </w:p>
              </w:tc>
              <w:tc>
                <w:tcPr>
                  <w:tcW w:w="3534" w:type="pct"/>
                  <w:vAlign w:val="center"/>
                </w:tcPr>
                <w:p w14:paraId="799E53F3">
                  <w:pPr>
                    <w:snapToGrid w:val="0"/>
                    <w:jc w:val="center"/>
                    <w:rPr>
                      <w:color w:val="auto"/>
                    </w:rPr>
                  </w:pPr>
                  <w:r>
                    <w:rPr>
                      <w:color w:val="auto"/>
                    </w:rPr>
                    <w:t>方案要求</w:t>
                  </w:r>
                </w:p>
              </w:tc>
              <w:tc>
                <w:tcPr>
                  <w:tcW w:w="604" w:type="pct"/>
                  <w:vAlign w:val="center"/>
                </w:tcPr>
                <w:p w14:paraId="4EF67383">
                  <w:pPr>
                    <w:snapToGrid w:val="0"/>
                    <w:ind w:left="-107" w:leftChars="-51" w:right="-57" w:rightChars="-27"/>
                    <w:jc w:val="center"/>
                    <w:rPr>
                      <w:color w:val="auto"/>
                    </w:rPr>
                  </w:pPr>
                  <w:r>
                    <w:rPr>
                      <w:color w:val="auto"/>
                    </w:rPr>
                    <w:t>企业状况</w:t>
                  </w:r>
                </w:p>
              </w:tc>
              <w:tc>
                <w:tcPr>
                  <w:tcW w:w="464" w:type="pct"/>
                  <w:vAlign w:val="center"/>
                </w:tcPr>
                <w:p w14:paraId="29945B58">
                  <w:pPr>
                    <w:snapToGrid w:val="0"/>
                    <w:ind w:left="-107" w:leftChars="-51" w:right="-101" w:rightChars="-48"/>
                    <w:jc w:val="center"/>
                    <w:rPr>
                      <w:color w:val="auto"/>
                    </w:rPr>
                  </w:pPr>
                  <w:r>
                    <w:rPr>
                      <w:color w:val="auto"/>
                    </w:rPr>
                    <w:t>相符性</w:t>
                  </w:r>
                </w:p>
              </w:tc>
            </w:tr>
            <w:tr w14:paraId="568B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55A8DC54">
                  <w:pPr>
                    <w:snapToGrid w:val="0"/>
                    <w:jc w:val="center"/>
                    <w:rPr>
                      <w:color w:val="auto"/>
                      <w:szCs w:val="21"/>
                    </w:rPr>
                  </w:pPr>
                  <w:r>
                    <w:rPr>
                      <w:color w:val="auto"/>
                      <w:szCs w:val="21"/>
                    </w:rPr>
                    <w:t>1</w:t>
                  </w:r>
                </w:p>
              </w:tc>
              <w:tc>
                <w:tcPr>
                  <w:tcW w:w="3534" w:type="pct"/>
                  <w:vAlign w:val="center"/>
                </w:tcPr>
                <w:p w14:paraId="4183F908">
                  <w:pPr>
                    <w:snapToGrid w:val="0"/>
                    <w:ind w:left="-101" w:leftChars="-48" w:right="-107" w:rightChars="-51"/>
                    <w:jc w:val="center"/>
                    <w:rPr>
                      <w:color w:val="auto"/>
                    </w:rPr>
                  </w:pPr>
                  <w:r>
                    <w:rPr>
                      <w:rFonts w:hint="eastAsia"/>
                      <w:color w:val="auto"/>
                    </w:rPr>
                    <w:t>坚决遏制“两高”项目盲目发展。深入贯彻落实党中央、国务院关于坚决遏制“两高”项目盲目发展相关决策部署，按照生态环境部《关于加强高耗能、高排放建设项目生态环境源头防控的指导意见》等文件要求，以石化、化工、煤化工、焦化、钢铁、建材、有色、煤电等行业为重点，全面梳理排查拟建、在建和存量“两高”项目，对“两高”项目实行清单管理，进行分类处置、动态监控。严格落实能耗“双控”、产能置换、污染物区域削减、煤炭减量替代等要求。对标国内外产品能效、环保先进水平，推动在建和拟建“两高”项目能效、环保水平提升，推进存量“两高”项目改造升级。</w:t>
                  </w:r>
                </w:p>
              </w:tc>
              <w:tc>
                <w:tcPr>
                  <w:tcW w:w="604" w:type="pct"/>
                  <w:vAlign w:val="center"/>
                </w:tcPr>
                <w:p w14:paraId="23250871">
                  <w:pPr>
                    <w:snapToGrid w:val="0"/>
                    <w:jc w:val="center"/>
                    <w:rPr>
                      <w:color w:val="auto"/>
                      <w:szCs w:val="21"/>
                    </w:rPr>
                  </w:pPr>
                  <w:r>
                    <w:rPr>
                      <w:rFonts w:hint="eastAsia"/>
                      <w:color w:val="auto"/>
                      <w:szCs w:val="21"/>
                    </w:rPr>
                    <w:t>本项目属于非金属矿物制品业</w:t>
                  </w:r>
                </w:p>
              </w:tc>
              <w:tc>
                <w:tcPr>
                  <w:tcW w:w="464" w:type="pct"/>
                  <w:vAlign w:val="center"/>
                </w:tcPr>
                <w:p w14:paraId="38FA6201">
                  <w:pPr>
                    <w:snapToGrid w:val="0"/>
                    <w:jc w:val="center"/>
                    <w:rPr>
                      <w:color w:val="auto"/>
                    </w:rPr>
                  </w:pPr>
                  <w:r>
                    <w:rPr>
                      <w:color w:val="auto"/>
                    </w:rPr>
                    <w:t>符合</w:t>
                  </w:r>
                </w:p>
              </w:tc>
            </w:tr>
            <w:tr w14:paraId="066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5E04A4E3">
                  <w:pPr>
                    <w:snapToGrid w:val="0"/>
                    <w:jc w:val="center"/>
                    <w:rPr>
                      <w:color w:val="auto"/>
                      <w:szCs w:val="21"/>
                    </w:rPr>
                  </w:pPr>
                  <w:r>
                    <w:rPr>
                      <w:color w:val="auto"/>
                      <w:szCs w:val="21"/>
                    </w:rPr>
                    <w:t>2</w:t>
                  </w:r>
                </w:p>
              </w:tc>
              <w:tc>
                <w:tcPr>
                  <w:tcW w:w="3534" w:type="pct"/>
                  <w:vAlign w:val="center"/>
                </w:tcPr>
                <w:p w14:paraId="239860D3">
                  <w:pPr>
                    <w:snapToGrid w:val="0"/>
                    <w:ind w:left="-101" w:leftChars="-48" w:right="-107" w:rightChars="-51"/>
                    <w:jc w:val="center"/>
                    <w:rPr>
                      <w:color w:val="auto"/>
                    </w:rPr>
                  </w:pPr>
                  <w:r>
                    <w:rPr>
                      <w:rFonts w:hint="eastAsia"/>
                      <w:color w:val="auto"/>
                    </w:rPr>
                    <w:t>落实钢铁行业去产能和超低排放改造要求。认真贯彻落实党中央、国务院关于钢铁行业化解过剩产能以及粗钢产量压减决策部署，做好钢铁去产能“回头看”工作，严格环境准入，除搬迁、产能置换外，不得审批新增产能项目。按照《关于推进实施钢铁行业超低排放的意见》要求，加快推进超低排放改造工作，2021年12月底前完成长江钢铁等企业超低排放改造；已完成超低排放改造的企业，2022年及时按照《钢铁企业超低排放评估监测技术指南》开展评估监测。对未达到超低排放要求的企业，按照环保绩效分级采取不同的应急减排措施。</w:t>
                  </w:r>
                </w:p>
              </w:tc>
              <w:tc>
                <w:tcPr>
                  <w:tcW w:w="604" w:type="pct"/>
                  <w:vAlign w:val="center"/>
                </w:tcPr>
                <w:p w14:paraId="44E96B65">
                  <w:pPr>
                    <w:snapToGrid w:val="0"/>
                    <w:jc w:val="center"/>
                    <w:rPr>
                      <w:color w:val="auto"/>
                      <w:szCs w:val="21"/>
                    </w:rPr>
                  </w:pPr>
                  <w:r>
                    <w:rPr>
                      <w:rFonts w:hint="eastAsia"/>
                      <w:color w:val="auto"/>
                      <w:szCs w:val="21"/>
                    </w:rPr>
                    <w:t>本项目属于非金属矿物制品业</w:t>
                  </w:r>
                </w:p>
              </w:tc>
              <w:tc>
                <w:tcPr>
                  <w:tcW w:w="464" w:type="pct"/>
                  <w:vAlign w:val="center"/>
                </w:tcPr>
                <w:p w14:paraId="5EE20150">
                  <w:pPr>
                    <w:snapToGrid w:val="0"/>
                    <w:jc w:val="center"/>
                    <w:rPr>
                      <w:color w:val="auto"/>
                    </w:rPr>
                  </w:pPr>
                  <w:r>
                    <w:rPr>
                      <w:color w:val="auto"/>
                    </w:rPr>
                    <w:t>符合</w:t>
                  </w:r>
                </w:p>
              </w:tc>
            </w:tr>
            <w:tr w14:paraId="558B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62B7F455">
                  <w:pPr>
                    <w:snapToGrid w:val="0"/>
                    <w:jc w:val="center"/>
                    <w:rPr>
                      <w:color w:val="auto"/>
                      <w:szCs w:val="21"/>
                    </w:rPr>
                  </w:pPr>
                  <w:r>
                    <w:rPr>
                      <w:color w:val="auto"/>
                      <w:szCs w:val="21"/>
                    </w:rPr>
                    <w:t>3</w:t>
                  </w:r>
                </w:p>
              </w:tc>
              <w:tc>
                <w:tcPr>
                  <w:tcW w:w="3534" w:type="pct"/>
                  <w:vAlign w:val="center"/>
                </w:tcPr>
                <w:p w14:paraId="74594BB2">
                  <w:pPr>
                    <w:snapToGrid w:val="0"/>
                    <w:ind w:left="-101" w:leftChars="-48" w:right="-107" w:rightChars="-51"/>
                    <w:jc w:val="center"/>
                    <w:rPr>
                      <w:color w:val="auto"/>
                    </w:rPr>
                  </w:pPr>
                  <w:r>
                    <w:rPr>
                      <w:rFonts w:hint="eastAsia"/>
                      <w:color w:val="auto"/>
                    </w:rPr>
                    <w:t>深入开展燃煤锅炉和炉窑综合整治。在保证电力、热力供应前提下，尽快完成热电联产机组供热半径15公里范围内燃煤锅炉及落后燃煤小热电关停整合。12月底前确保每小时35蒸吨以下的燃煤锅炉、炉膛直径3米及以下的燃料类煤气发生炉及间歇式固定床煤气发生炉和燃煤热风炉全部淘汰完毕；以煤炭为燃料的加热炉、热处理炉、干燥炉等改用工业余热或电能，加快推进铸造（10吨/小时及以下）、岩棉等行业冲天炉改为电炉。</w:t>
                  </w:r>
                </w:p>
                <w:p w14:paraId="473FA492">
                  <w:pPr>
                    <w:snapToGrid w:val="0"/>
                    <w:ind w:left="-101" w:leftChars="-48" w:right="-107" w:rightChars="-51"/>
                    <w:jc w:val="center"/>
                    <w:rPr>
                      <w:color w:val="auto"/>
                    </w:rPr>
                  </w:pPr>
                  <w:r>
                    <w:rPr>
                      <w:rFonts w:hint="eastAsia"/>
                      <w:color w:val="auto"/>
                    </w:rPr>
                    <w:t>2022年1-3月，开展锅炉、炉窑大气污染治理情况排查抽测，制定整治清单。对不能稳定达标排放的督促整改，督促采取脱硫除尘一体化、脱硫脱硝一体化等低效治理工艺的应进行升级治理，确保稳定达标排放；对采用氧化镁、氨法、单碱法、双碱法等脱硫工艺的，要求完成一次检修，防止造成脱硫系统堵塞，确保脱硫设施稳定运行；加快推进城市建成区生物质锅炉超低排放改造；制定辖区内燃气锅炉低氮改造计划。重点燃煤企业原则上必须使用灰分不高于15%、硫分不高于0.6%的低硫优质煤，提前做好优质低硫煤采购和储备工作。依法划定高污染燃料禁燃区，加强监督检查，禁燃区内严禁散煤加工、销售和使用。</w:t>
                  </w:r>
                </w:p>
              </w:tc>
              <w:tc>
                <w:tcPr>
                  <w:tcW w:w="604" w:type="pct"/>
                  <w:vAlign w:val="center"/>
                </w:tcPr>
                <w:p w14:paraId="63BDA67B">
                  <w:pPr>
                    <w:snapToGrid w:val="0"/>
                    <w:jc w:val="center"/>
                    <w:rPr>
                      <w:color w:val="auto"/>
                      <w:szCs w:val="21"/>
                    </w:rPr>
                  </w:pPr>
                  <w:r>
                    <w:rPr>
                      <w:color w:val="auto"/>
                      <w:szCs w:val="21"/>
                    </w:rPr>
                    <w:t>本项目无燃煤锅炉</w:t>
                  </w:r>
                </w:p>
              </w:tc>
              <w:tc>
                <w:tcPr>
                  <w:tcW w:w="464" w:type="pct"/>
                  <w:vAlign w:val="center"/>
                </w:tcPr>
                <w:p w14:paraId="58551629">
                  <w:pPr>
                    <w:snapToGrid w:val="0"/>
                    <w:jc w:val="center"/>
                    <w:rPr>
                      <w:color w:val="auto"/>
                    </w:rPr>
                  </w:pPr>
                  <w:r>
                    <w:rPr>
                      <w:color w:val="auto"/>
                    </w:rPr>
                    <w:t>符合</w:t>
                  </w:r>
                </w:p>
              </w:tc>
            </w:tr>
            <w:tr w14:paraId="4A26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477D2B19">
                  <w:pPr>
                    <w:snapToGrid w:val="0"/>
                    <w:jc w:val="center"/>
                    <w:rPr>
                      <w:color w:val="auto"/>
                      <w:szCs w:val="21"/>
                    </w:rPr>
                  </w:pPr>
                  <w:r>
                    <w:rPr>
                      <w:color w:val="auto"/>
                      <w:szCs w:val="21"/>
                    </w:rPr>
                    <w:t>4</w:t>
                  </w:r>
                </w:p>
              </w:tc>
              <w:tc>
                <w:tcPr>
                  <w:tcW w:w="3534" w:type="pct"/>
                  <w:vAlign w:val="center"/>
                </w:tcPr>
                <w:p w14:paraId="377D87E9">
                  <w:pPr>
                    <w:snapToGrid w:val="0"/>
                    <w:ind w:left="-101" w:leftChars="-48" w:right="-107" w:rightChars="-51"/>
                    <w:jc w:val="center"/>
                    <w:rPr>
                      <w:color w:val="auto"/>
                    </w:rPr>
                  </w:pPr>
                  <w:r>
                    <w:rPr>
                      <w:rFonts w:hint="eastAsia"/>
                      <w:color w:val="auto"/>
                    </w:rPr>
                    <w:t>持续落实《安徽省大气办关于深入开展挥发性有机物污染治理工作的通知》有关要求，加快整治年度VOCs综合治理项目，确保完成挥发性有机物重点工程减排量年度计划目标。</w:t>
                  </w:r>
                </w:p>
              </w:tc>
              <w:tc>
                <w:tcPr>
                  <w:tcW w:w="604" w:type="pct"/>
                  <w:vAlign w:val="center"/>
                </w:tcPr>
                <w:p w14:paraId="19140483">
                  <w:pPr>
                    <w:snapToGrid w:val="0"/>
                    <w:jc w:val="center"/>
                    <w:rPr>
                      <w:color w:val="auto"/>
                      <w:szCs w:val="21"/>
                    </w:rPr>
                  </w:pPr>
                  <w:r>
                    <w:rPr>
                      <w:rFonts w:hint="eastAsia"/>
                      <w:color w:val="auto"/>
                      <w:szCs w:val="21"/>
                    </w:rPr>
                    <w:t>本项目所使用的原辅材料均不含VOCs，废气主要为粉尘，不涉及VOCs排放</w:t>
                  </w:r>
                </w:p>
              </w:tc>
              <w:tc>
                <w:tcPr>
                  <w:tcW w:w="464" w:type="pct"/>
                  <w:vAlign w:val="center"/>
                </w:tcPr>
                <w:p w14:paraId="56C6794D">
                  <w:pPr>
                    <w:snapToGrid w:val="0"/>
                    <w:jc w:val="center"/>
                    <w:rPr>
                      <w:color w:val="auto"/>
                    </w:rPr>
                  </w:pPr>
                  <w:r>
                    <w:rPr>
                      <w:color w:val="auto"/>
                    </w:rPr>
                    <w:t>符合</w:t>
                  </w:r>
                </w:p>
              </w:tc>
            </w:tr>
            <w:tr w14:paraId="4595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vAlign w:val="center"/>
                </w:tcPr>
                <w:p w14:paraId="0415203C">
                  <w:pPr>
                    <w:snapToGrid w:val="0"/>
                    <w:jc w:val="center"/>
                    <w:rPr>
                      <w:color w:val="auto"/>
                      <w:szCs w:val="21"/>
                    </w:rPr>
                  </w:pPr>
                  <w:r>
                    <w:rPr>
                      <w:rFonts w:hint="eastAsia"/>
                      <w:color w:val="auto"/>
                      <w:szCs w:val="21"/>
                    </w:rPr>
                    <w:t>5</w:t>
                  </w:r>
                </w:p>
              </w:tc>
              <w:tc>
                <w:tcPr>
                  <w:tcW w:w="3534" w:type="pct"/>
                  <w:vAlign w:val="center"/>
                </w:tcPr>
                <w:p w14:paraId="1DC9FE8B">
                  <w:pPr>
                    <w:snapToGrid w:val="0"/>
                    <w:ind w:left="-101" w:leftChars="-48" w:right="-107" w:rightChars="-51"/>
                    <w:jc w:val="center"/>
                    <w:rPr>
                      <w:color w:val="auto"/>
                    </w:rPr>
                  </w:pPr>
                  <w:r>
                    <w:rPr>
                      <w:rFonts w:hint="eastAsia"/>
                      <w:color w:val="auto"/>
                    </w:rPr>
                    <w:t>加快推进柴油货车污染治理；鼓励以港口、矿山和大型工业企业为重点，出台推进国一及以下排放标准（或使用15年以上）非道路移动机械、国三及以下排放标准场内作业车辆淘汰更新政策。</w:t>
                  </w:r>
                </w:p>
              </w:tc>
              <w:tc>
                <w:tcPr>
                  <w:tcW w:w="604" w:type="pct"/>
                  <w:vAlign w:val="center"/>
                </w:tcPr>
                <w:p w14:paraId="187432E9">
                  <w:pPr>
                    <w:snapToGrid w:val="0"/>
                    <w:jc w:val="center"/>
                    <w:rPr>
                      <w:color w:val="auto"/>
                      <w:szCs w:val="21"/>
                    </w:rPr>
                  </w:pPr>
                  <w:r>
                    <w:rPr>
                      <w:color w:val="auto"/>
                      <w:szCs w:val="21"/>
                    </w:rPr>
                    <w:t>本项目</w:t>
                  </w:r>
                  <w:r>
                    <w:rPr>
                      <w:rFonts w:hint="eastAsia"/>
                      <w:color w:val="auto"/>
                      <w:szCs w:val="21"/>
                    </w:rPr>
                    <w:t>不涉及</w:t>
                  </w:r>
                </w:p>
              </w:tc>
              <w:tc>
                <w:tcPr>
                  <w:tcW w:w="464" w:type="pct"/>
                  <w:vAlign w:val="center"/>
                </w:tcPr>
                <w:p w14:paraId="26688547">
                  <w:pPr>
                    <w:snapToGrid w:val="0"/>
                    <w:jc w:val="center"/>
                    <w:rPr>
                      <w:color w:val="auto"/>
                    </w:rPr>
                  </w:pPr>
                  <w:r>
                    <w:rPr>
                      <w:color w:val="auto"/>
                    </w:rPr>
                    <w:t>符合</w:t>
                  </w:r>
                </w:p>
              </w:tc>
            </w:tr>
          </w:tbl>
          <w:p w14:paraId="2F8B0EA9">
            <w:pPr>
              <w:pStyle w:val="41"/>
              <w:ind w:firstLine="480"/>
              <w:rPr>
                <w:color w:val="auto"/>
              </w:rPr>
            </w:pPr>
            <w:r>
              <w:rPr>
                <w:rFonts w:hint="eastAsia"/>
                <w:bCs/>
                <w:color w:val="auto"/>
                <w:sz w:val="24"/>
                <w:lang w:val="en-US" w:eastAsia="zh-CN"/>
              </w:rPr>
              <w:t xml:space="preserve"> 4</w:t>
            </w:r>
            <w:r>
              <w:rPr>
                <w:color w:val="auto"/>
              </w:rPr>
              <w:t>、与安徽省蚌埠市</w:t>
            </w:r>
            <w:r>
              <w:rPr>
                <w:rFonts w:hint="eastAsia"/>
                <w:color w:val="auto"/>
              </w:rPr>
              <w:t>“</w:t>
            </w:r>
            <w:r>
              <w:rPr>
                <w:color w:val="auto"/>
              </w:rPr>
              <w:t>三线一单</w:t>
            </w:r>
            <w:r>
              <w:rPr>
                <w:rFonts w:hint="eastAsia"/>
                <w:color w:val="auto"/>
              </w:rPr>
              <w:t>”</w:t>
            </w:r>
            <w:r>
              <w:rPr>
                <w:color w:val="auto"/>
              </w:rPr>
              <w:t>相符性分析</w:t>
            </w:r>
          </w:p>
          <w:p w14:paraId="2537A298">
            <w:pPr>
              <w:pStyle w:val="41"/>
              <w:ind w:firstLine="482"/>
              <w:jc w:val="center"/>
              <w:rPr>
                <w:color w:val="auto"/>
              </w:rPr>
            </w:pPr>
            <w:r>
              <w:rPr>
                <w:b/>
                <w:color w:val="auto"/>
              </w:rPr>
              <w:t>表1-</w:t>
            </w:r>
            <w:r>
              <w:rPr>
                <w:rFonts w:hint="eastAsia"/>
                <w:b/>
                <w:color w:val="auto"/>
                <w:lang w:val="en-US" w:eastAsia="zh-CN"/>
              </w:rPr>
              <w:t>5</w:t>
            </w:r>
            <w:r>
              <w:rPr>
                <w:b/>
                <w:color w:val="auto"/>
              </w:rPr>
              <w:t xml:space="preserve">  与安徽省蚌埠市“三线一单”相符性分析一览表</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2"/>
              <w:gridCol w:w="3154"/>
              <w:gridCol w:w="2197"/>
              <w:gridCol w:w="584"/>
            </w:tblGrid>
            <w:tr w14:paraId="47606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vAlign w:val="center"/>
                </w:tcPr>
                <w:p w14:paraId="3AECA83A">
                  <w:pPr>
                    <w:snapToGrid w:val="0"/>
                    <w:ind w:left="-113" w:leftChars="-54" w:right="-132" w:rightChars="-63"/>
                    <w:jc w:val="center"/>
                    <w:rPr>
                      <w:color w:val="auto"/>
                      <w:szCs w:val="21"/>
                    </w:rPr>
                  </w:pPr>
                  <w:r>
                    <w:rPr>
                      <w:rFonts w:hint="eastAsia"/>
                      <w:color w:val="auto"/>
                      <w:szCs w:val="21"/>
                    </w:rPr>
                    <w:t>名称</w:t>
                  </w:r>
                </w:p>
              </w:tc>
              <w:tc>
                <w:tcPr>
                  <w:tcW w:w="2512" w:type="pct"/>
                  <w:vAlign w:val="center"/>
                </w:tcPr>
                <w:p w14:paraId="7F80F0EE">
                  <w:pPr>
                    <w:snapToGrid w:val="0"/>
                    <w:jc w:val="center"/>
                    <w:rPr>
                      <w:color w:val="auto"/>
                      <w:szCs w:val="21"/>
                    </w:rPr>
                  </w:pPr>
                  <w:r>
                    <w:rPr>
                      <w:color w:val="auto"/>
                      <w:szCs w:val="21"/>
                    </w:rPr>
                    <w:t>要求内容</w:t>
                  </w:r>
                </w:p>
              </w:tc>
              <w:tc>
                <w:tcPr>
                  <w:tcW w:w="1750" w:type="pct"/>
                  <w:vAlign w:val="center"/>
                </w:tcPr>
                <w:p w14:paraId="10EE5957">
                  <w:pPr>
                    <w:snapToGrid w:val="0"/>
                    <w:jc w:val="center"/>
                    <w:rPr>
                      <w:color w:val="auto"/>
                      <w:szCs w:val="21"/>
                    </w:rPr>
                  </w:pPr>
                  <w:r>
                    <w:rPr>
                      <w:color w:val="auto"/>
                      <w:szCs w:val="21"/>
                    </w:rPr>
                    <w:t>本项目措施</w:t>
                  </w:r>
                </w:p>
              </w:tc>
              <w:tc>
                <w:tcPr>
                  <w:tcW w:w="465" w:type="pct"/>
                  <w:vAlign w:val="center"/>
                </w:tcPr>
                <w:p w14:paraId="50626C33">
                  <w:pPr>
                    <w:ind w:left="-107" w:leftChars="-51" w:right="-103" w:rightChars="-49"/>
                    <w:jc w:val="center"/>
                    <w:rPr>
                      <w:color w:val="auto"/>
                      <w:szCs w:val="21"/>
                    </w:rPr>
                  </w:pPr>
                  <w:r>
                    <w:rPr>
                      <w:color w:val="auto"/>
                      <w:szCs w:val="21"/>
                    </w:rPr>
                    <w:t>相符性</w:t>
                  </w:r>
                </w:p>
              </w:tc>
            </w:tr>
            <w:tr w14:paraId="20B9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vAlign w:val="center"/>
                </w:tcPr>
                <w:p w14:paraId="0428B64F">
                  <w:pPr>
                    <w:snapToGrid w:val="0"/>
                    <w:jc w:val="center"/>
                    <w:rPr>
                      <w:color w:val="auto"/>
                      <w:szCs w:val="21"/>
                    </w:rPr>
                  </w:pPr>
                  <w:r>
                    <w:rPr>
                      <w:color w:val="auto"/>
                      <w:szCs w:val="21"/>
                    </w:rPr>
                    <w:t>生态保护红线</w:t>
                  </w:r>
                </w:p>
              </w:tc>
              <w:tc>
                <w:tcPr>
                  <w:tcW w:w="2512" w:type="pct"/>
                  <w:vAlign w:val="center"/>
                </w:tcPr>
                <w:p w14:paraId="1AB1620F">
                  <w:pPr>
                    <w:pStyle w:val="79"/>
                    <w:spacing w:line="240" w:lineRule="auto"/>
                    <w:ind w:firstLine="0"/>
                    <w:jc w:val="center"/>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依据中共中央办公厅、国务院办公厅印发的《关于划定并严守生态保护红线的若干意见》，生态保护红线原则上按禁止开发区域的要求进行管理。严禁不符合主体功能定位的各类开发活动，严禁任意改变用途，确保生态保护红线的生态功能不降低、面积不减少、性质不改变。蚌埠市生态保护红线面积为</w:t>
                  </w:r>
                  <w:r>
                    <w:rPr>
                      <w:rFonts w:hint="eastAsia" w:ascii="Times New Roman" w:hAnsi="Times New Roman" w:eastAsia="宋体" w:cs="Times New Roman"/>
                      <w:color w:val="auto"/>
                      <w:kern w:val="2"/>
                      <w:sz w:val="21"/>
                      <w:szCs w:val="21"/>
                      <w:lang w:val="en-US" w:eastAsia="zh-CN" w:bidi="ar-SA"/>
                    </w:rPr>
                    <w:t>2</w:t>
                  </w:r>
                  <w:r>
                    <w:rPr>
                      <w:rFonts w:ascii="Times New Roman" w:hAnsi="Times New Roman" w:eastAsia="宋体" w:cs="Times New Roman"/>
                      <w:color w:val="auto"/>
                      <w:kern w:val="2"/>
                      <w:sz w:val="21"/>
                      <w:szCs w:val="21"/>
                      <w:lang w:val="en-US" w:eastAsia="zh-CN" w:bidi="ar-SA"/>
                    </w:rPr>
                    <w:t>63.89km</w:t>
                  </w:r>
                  <w:r>
                    <w:rPr>
                      <w:rFonts w:ascii="Times New Roman" w:hAnsi="Times New Roman" w:eastAsia="宋体" w:cs="Times New Roman"/>
                      <w:color w:val="auto"/>
                      <w:kern w:val="2"/>
                      <w:sz w:val="21"/>
                      <w:szCs w:val="21"/>
                      <w:vertAlign w:val="superscript"/>
                      <w:lang w:val="en-US" w:eastAsia="zh-CN" w:bidi="ar-SA"/>
                    </w:rPr>
                    <w:t>2</w:t>
                  </w: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eastAsia="zh-CN" w:bidi="ar-SA"/>
                    </w:rPr>
                    <w:t>占全市国土总面的</w:t>
                  </w:r>
                  <w:r>
                    <w:rPr>
                      <w:rFonts w:hint="eastAsia" w:ascii="Times New Roman" w:hAnsi="Times New Roman" w:eastAsia="宋体" w:cs="Times New Roman"/>
                      <w:color w:val="auto"/>
                      <w:kern w:val="2"/>
                      <w:sz w:val="21"/>
                      <w:szCs w:val="21"/>
                      <w:lang w:val="en-US" w:eastAsia="zh-CN" w:bidi="ar-SA"/>
                    </w:rPr>
                    <w:t>4</w:t>
                  </w:r>
                  <w:r>
                    <w:rPr>
                      <w:rFonts w:ascii="Times New Roman" w:hAnsi="Times New Roman" w:eastAsia="宋体" w:cs="Times New Roman"/>
                      <w:color w:val="auto"/>
                      <w:kern w:val="2"/>
                      <w:sz w:val="21"/>
                      <w:szCs w:val="21"/>
                      <w:lang w:val="en-US" w:eastAsia="zh-CN" w:bidi="ar-SA"/>
                    </w:rPr>
                    <w:t>.43</w:t>
                  </w:r>
                  <w:r>
                    <w:rPr>
                      <w:rFonts w:hint="eastAsia" w:ascii="Times New Roman" w:hAnsi="Times New Roman" w:eastAsia="宋体" w:cs="Times New Roman"/>
                      <w:color w:val="auto"/>
                      <w:kern w:val="2"/>
                      <w:sz w:val="21"/>
                      <w:szCs w:val="21"/>
                      <w:lang w:val="en-US" w:eastAsia="zh-CN" w:bidi="ar-SA"/>
                    </w:rPr>
                    <w:t>%。</w:t>
                  </w:r>
                </w:p>
              </w:tc>
              <w:tc>
                <w:tcPr>
                  <w:tcW w:w="1750" w:type="pct"/>
                  <w:vAlign w:val="center"/>
                </w:tcPr>
                <w:p w14:paraId="0FE9395C">
                  <w:pPr>
                    <w:snapToGrid w:val="0"/>
                    <w:jc w:val="center"/>
                    <w:rPr>
                      <w:color w:val="auto"/>
                      <w:szCs w:val="21"/>
                    </w:rPr>
                  </w:pPr>
                  <w:r>
                    <w:rPr>
                      <w:color w:val="auto"/>
                      <w:szCs w:val="21"/>
                    </w:rPr>
                    <w:t>项目位于</w:t>
                  </w:r>
                  <w:r>
                    <w:rPr>
                      <w:rFonts w:hint="eastAsia"/>
                      <w:color w:val="auto"/>
                      <w:szCs w:val="21"/>
                    </w:rPr>
                    <w:t>安徽省蚌埠市龙子湖区高铁工贸园胜利路9号（安徽瑞龙玻璃机械股份有限公司）厂房</w:t>
                  </w:r>
                  <w:r>
                    <w:rPr>
                      <w:color w:val="auto"/>
                      <w:szCs w:val="21"/>
                    </w:rPr>
                    <w:t>，所在地周边无自然保护区、饮用水源保护区等生态保护目标，故本项目不在生态保护红线范围内</w:t>
                  </w:r>
                </w:p>
              </w:tc>
              <w:tc>
                <w:tcPr>
                  <w:tcW w:w="465" w:type="pct"/>
                  <w:vAlign w:val="center"/>
                </w:tcPr>
                <w:p w14:paraId="0CD6E072">
                  <w:pPr>
                    <w:jc w:val="center"/>
                    <w:rPr>
                      <w:color w:val="auto"/>
                      <w:szCs w:val="21"/>
                    </w:rPr>
                  </w:pPr>
                  <w:r>
                    <w:rPr>
                      <w:color w:val="auto"/>
                      <w:szCs w:val="21"/>
                    </w:rPr>
                    <w:t>符合</w:t>
                  </w:r>
                </w:p>
              </w:tc>
            </w:tr>
            <w:tr w14:paraId="17897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vMerge w:val="restart"/>
                  <w:vAlign w:val="center"/>
                </w:tcPr>
                <w:p w14:paraId="1F78C51D">
                  <w:pPr>
                    <w:snapToGrid w:val="0"/>
                    <w:jc w:val="center"/>
                    <w:rPr>
                      <w:color w:val="auto"/>
                      <w:szCs w:val="21"/>
                    </w:rPr>
                  </w:pPr>
                  <w:r>
                    <w:rPr>
                      <w:color w:val="auto"/>
                      <w:szCs w:val="21"/>
                    </w:rPr>
                    <w:t>环境质量底线</w:t>
                  </w:r>
                </w:p>
              </w:tc>
              <w:tc>
                <w:tcPr>
                  <w:tcW w:w="2512" w:type="pct"/>
                  <w:tcBorders>
                    <w:bottom w:val="single" w:color="auto" w:sz="4" w:space="0"/>
                  </w:tcBorders>
                  <w:vAlign w:val="center"/>
                </w:tcPr>
                <w:p w14:paraId="7DA97037">
                  <w:pPr>
                    <w:snapToGrid w:val="0"/>
                    <w:jc w:val="center"/>
                    <w:rPr>
                      <w:color w:val="auto"/>
                      <w:szCs w:val="21"/>
                    </w:rPr>
                  </w:pPr>
                  <w:r>
                    <w:rPr>
                      <w:color w:val="auto"/>
                      <w:szCs w:val="21"/>
                    </w:rPr>
                    <w:t>蚌埠市2020年水环境质量底线以安徽省《水十条》中</w:t>
                  </w:r>
                  <w:bookmarkStart w:id="14" w:name="_GoBack"/>
                  <w:r>
                    <w:rPr>
                      <w:color w:val="auto"/>
                      <w:szCs w:val="21"/>
                    </w:rPr>
                    <w:t>明</w:t>
                  </w:r>
                  <w:bookmarkEnd w:id="14"/>
                  <w:r>
                    <w:rPr>
                      <w:color w:val="auto"/>
                      <w:szCs w:val="21"/>
                    </w:rPr>
                    <w:t>确的蚌埠市国考断面水质目标为准；2025年地表水质量底线暂参考《重点流域水生态环境保护“十四五”规划》阶段性成果中明确的12个国考断面水质目标，最终以“十四五”规划确定的水质目标为准；2035年质量底线目标为暂定，最终以“十六五”生态环境保护规划确定的目标为准。</w:t>
                  </w:r>
                </w:p>
                <w:p w14:paraId="7F348DBA">
                  <w:pPr>
                    <w:snapToGrid w:val="0"/>
                    <w:jc w:val="center"/>
                    <w:rPr>
                      <w:color w:val="auto"/>
                      <w:szCs w:val="21"/>
                    </w:rPr>
                  </w:pPr>
                  <w:r>
                    <w:rPr>
                      <w:color w:val="auto"/>
                      <w:szCs w:val="21"/>
                    </w:rPr>
                    <w:t>淮河水体功能为三类，需达到《地表水环境质量标准》（GB3838-2002）Ⅲ类标准要求</w:t>
                  </w:r>
                </w:p>
              </w:tc>
              <w:tc>
                <w:tcPr>
                  <w:tcW w:w="1750" w:type="pct"/>
                  <w:tcBorders>
                    <w:bottom w:val="single" w:color="auto" w:sz="4" w:space="0"/>
                  </w:tcBorders>
                  <w:vAlign w:val="center"/>
                </w:tcPr>
                <w:p w14:paraId="7EBEF403">
                  <w:pPr>
                    <w:snapToGrid w:val="0"/>
                    <w:jc w:val="center"/>
                    <w:rPr>
                      <w:color w:val="auto"/>
                      <w:szCs w:val="21"/>
                    </w:rPr>
                  </w:pPr>
                  <w:r>
                    <w:rPr>
                      <w:color w:val="auto"/>
                      <w:szCs w:val="21"/>
                    </w:rPr>
                    <w:t>本项目生产过程中仅产生生活污水</w:t>
                  </w:r>
                  <w:r>
                    <w:rPr>
                      <w:rFonts w:hint="eastAsia"/>
                      <w:color w:val="auto"/>
                      <w:szCs w:val="21"/>
                    </w:rPr>
                    <w:t>，</w:t>
                  </w:r>
                  <w:r>
                    <w:rPr>
                      <w:color w:val="auto"/>
                      <w:szCs w:val="21"/>
                    </w:rPr>
                    <w:t>无生产废水产生</w:t>
                  </w:r>
                  <w:r>
                    <w:rPr>
                      <w:rFonts w:hint="eastAsia"/>
                      <w:color w:val="auto"/>
                      <w:szCs w:val="21"/>
                    </w:rPr>
                    <w:t>，依托</w:t>
                  </w:r>
                  <w:r>
                    <w:rPr>
                      <w:rFonts w:hint="eastAsia"/>
                      <w:color w:val="auto"/>
                      <w:szCs w:val="21"/>
                      <w:lang w:val="en-US" w:eastAsia="zh-CN"/>
                    </w:rPr>
                    <w:t>厂区内</w:t>
                  </w:r>
                  <w:r>
                    <w:rPr>
                      <w:rFonts w:hint="eastAsia"/>
                      <w:color w:val="auto"/>
                      <w:szCs w:val="21"/>
                    </w:rPr>
                    <w:t>化粪池和隔油池处理后</w:t>
                  </w:r>
                  <w:r>
                    <w:rPr>
                      <w:color w:val="auto"/>
                      <w:szCs w:val="21"/>
                    </w:rPr>
                    <w:t>进入蚌埠市第二污水处理厂处理</w:t>
                  </w:r>
                  <w:r>
                    <w:rPr>
                      <w:rFonts w:hint="eastAsia"/>
                      <w:color w:val="auto"/>
                      <w:szCs w:val="21"/>
                    </w:rPr>
                    <w:t>，</w:t>
                  </w:r>
                  <w:r>
                    <w:rPr>
                      <w:color w:val="auto"/>
                      <w:szCs w:val="21"/>
                    </w:rPr>
                    <w:t>达到《城镇污水处理厂污染物排放标准》（GB18918－2002）一级A标准</w:t>
                  </w:r>
                  <w:r>
                    <w:rPr>
                      <w:rFonts w:hint="eastAsia"/>
                      <w:color w:val="auto"/>
                      <w:szCs w:val="21"/>
                    </w:rPr>
                    <w:t>后排入淮河，</w:t>
                  </w:r>
                  <w:r>
                    <w:rPr>
                      <w:color w:val="auto"/>
                      <w:szCs w:val="21"/>
                    </w:rPr>
                    <w:t>产生的影响在环境承载力范围内，不会降低现有环境功能。</w:t>
                  </w:r>
                </w:p>
              </w:tc>
              <w:tc>
                <w:tcPr>
                  <w:tcW w:w="465" w:type="pct"/>
                  <w:tcBorders>
                    <w:bottom w:val="single" w:color="auto" w:sz="4" w:space="0"/>
                  </w:tcBorders>
                  <w:vAlign w:val="center"/>
                </w:tcPr>
                <w:p w14:paraId="5AC0E273">
                  <w:pPr>
                    <w:jc w:val="center"/>
                    <w:rPr>
                      <w:color w:val="auto"/>
                      <w:szCs w:val="21"/>
                    </w:rPr>
                  </w:pPr>
                  <w:r>
                    <w:rPr>
                      <w:color w:val="auto"/>
                      <w:szCs w:val="21"/>
                    </w:rPr>
                    <w:t>符合</w:t>
                  </w:r>
                </w:p>
              </w:tc>
            </w:tr>
            <w:tr w14:paraId="4A544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vMerge w:val="continue"/>
                  <w:vAlign w:val="center"/>
                </w:tcPr>
                <w:p w14:paraId="2B80EF32">
                  <w:pPr>
                    <w:snapToGrid w:val="0"/>
                    <w:jc w:val="center"/>
                    <w:rPr>
                      <w:color w:val="auto"/>
                      <w:szCs w:val="21"/>
                    </w:rPr>
                  </w:pPr>
                </w:p>
              </w:tc>
              <w:tc>
                <w:tcPr>
                  <w:tcW w:w="2512" w:type="pct"/>
                  <w:tcBorders>
                    <w:bottom w:val="single" w:color="auto" w:sz="4" w:space="0"/>
                  </w:tcBorders>
                  <w:vAlign w:val="center"/>
                </w:tcPr>
                <w:p w14:paraId="4374A045">
                  <w:pPr>
                    <w:pStyle w:val="79"/>
                    <w:spacing w:line="240" w:lineRule="auto"/>
                    <w:ind w:left="-61" w:leftChars="-29" w:right="-107" w:rightChars="-51" w:firstLine="0"/>
                    <w:jc w:val="center"/>
                    <w:rPr>
                      <w:rFonts w:ascii="Times New Roman" w:hAnsi="Times New Roman" w:eastAsia="PMingLiU" w:cs="Times New Roman"/>
                      <w:color w:val="auto"/>
                      <w:kern w:val="2"/>
                      <w:sz w:val="21"/>
                      <w:szCs w:val="21"/>
                      <w:lang w:val="en-US" w:bidi="zh-CN"/>
                    </w:rPr>
                  </w:pPr>
                  <w:r>
                    <w:rPr>
                      <w:rFonts w:ascii="Times New Roman" w:hAnsi="Times New Roman" w:eastAsia="宋体" w:cs="Times New Roman"/>
                      <w:color w:val="auto"/>
                      <w:kern w:val="2"/>
                      <w:sz w:val="21"/>
                      <w:szCs w:val="21"/>
                      <w:lang w:val="en-US" w:bidi="zh-CN"/>
                    </w:rPr>
                    <w:t>根据2016年发布的“十三五”生态环境保护规划和生态环境部下达的“十三五”约束性指标以及《蚌埠市环境保护“十三五”规划(2016-2020年)》，到2020年，蚌埠市PM2.5平均浓度比2015年下降20%，即由64微克/立方米下降到49微克/立方米；到2025年，在2020年目标的基础上，PM2.5平均浓度暂定为下降至43微克/立方米；到2035年，蚌埠市PM2.5平均浓度目标暂定为＜35微克/立方米。2025年、2035年目标值均为暂定，最终以“十四五”、“十六五”生态环境保护规划确定的目标为准</w:t>
                  </w:r>
                  <w:r>
                    <w:rPr>
                      <w:rFonts w:hint="eastAsia" w:ascii="Times New Roman" w:hAnsi="Times New Roman" w:eastAsia="宋体" w:cs="Times New Roman"/>
                      <w:color w:val="auto"/>
                      <w:kern w:val="2"/>
                      <w:sz w:val="21"/>
                      <w:szCs w:val="21"/>
                      <w:lang w:val="en-US" w:eastAsia="zh-CN" w:bidi="zh-CN"/>
                    </w:rPr>
                    <w:t>。</w:t>
                  </w:r>
                </w:p>
                <w:p w14:paraId="5847AD24">
                  <w:pPr>
                    <w:pStyle w:val="79"/>
                    <w:spacing w:line="240" w:lineRule="auto"/>
                    <w:ind w:firstLine="0"/>
                    <w:jc w:val="center"/>
                    <w:rPr>
                      <w:rFonts w:eastAsia="PMingLiU"/>
                      <w:color w:val="auto"/>
                      <w:sz w:val="21"/>
                      <w:szCs w:val="21"/>
                    </w:rPr>
                  </w:pPr>
                  <w:r>
                    <w:rPr>
                      <w:rFonts w:ascii="Times New Roman" w:hAnsi="Times New Roman" w:eastAsia="宋体" w:cs="Times New Roman"/>
                      <w:color w:val="auto"/>
                      <w:kern w:val="2"/>
                      <w:sz w:val="21"/>
                      <w:szCs w:val="21"/>
                      <w:lang w:val="en-US" w:bidi="zh-CN"/>
                    </w:rPr>
                    <w:t>所在地环境空气功能为二类区，需要达到《环境空气质量标准》（GB3095-2012）二级标准</w:t>
                  </w:r>
                </w:p>
              </w:tc>
              <w:tc>
                <w:tcPr>
                  <w:tcW w:w="1750" w:type="pct"/>
                  <w:tcBorders>
                    <w:bottom w:val="single" w:color="auto" w:sz="4" w:space="0"/>
                  </w:tcBorders>
                  <w:vAlign w:val="center"/>
                </w:tcPr>
                <w:p w14:paraId="540365C8">
                  <w:pPr>
                    <w:snapToGrid w:val="0"/>
                    <w:jc w:val="center"/>
                    <w:rPr>
                      <w:color w:val="auto"/>
                      <w:szCs w:val="21"/>
                    </w:rPr>
                  </w:pPr>
                  <w:r>
                    <w:rPr>
                      <w:color w:val="auto"/>
                      <w:szCs w:val="21"/>
                      <w:highlight w:val="none"/>
                      <w:shd w:val="clear"/>
                    </w:rPr>
                    <w:t>本项目所在地PM</w:t>
                  </w:r>
                  <w:r>
                    <w:rPr>
                      <w:color w:val="auto"/>
                      <w:szCs w:val="21"/>
                      <w:highlight w:val="none"/>
                      <w:shd w:val="clear"/>
                      <w:vertAlign w:val="subscript"/>
                    </w:rPr>
                    <w:t>2.5</w:t>
                  </w:r>
                  <w:r>
                    <w:rPr>
                      <w:color w:val="auto"/>
                      <w:szCs w:val="21"/>
                      <w:highlight w:val="none"/>
                      <w:shd w:val="clear"/>
                    </w:rPr>
                    <w:t>目前处</w:t>
                  </w:r>
                  <w:r>
                    <w:rPr>
                      <w:color w:val="auto"/>
                      <w:szCs w:val="21"/>
                    </w:rPr>
                    <w:t>于超标状态</w:t>
                  </w:r>
                  <w:r>
                    <w:rPr>
                      <w:rFonts w:hint="eastAsia"/>
                      <w:color w:val="auto"/>
                      <w:szCs w:val="21"/>
                    </w:rPr>
                    <w:t>，本项目将</w:t>
                  </w:r>
                  <w:r>
                    <w:rPr>
                      <w:color w:val="auto"/>
                      <w:szCs w:val="21"/>
                    </w:rPr>
                    <w:t>落实《</w:t>
                  </w:r>
                  <w:r>
                    <w:rPr>
                      <w:rFonts w:hint="eastAsia"/>
                      <w:color w:val="auto"/>
                      <w:szCs w:val="21"/>
                    </w:rPr>
                    <w:t>安徽省2</w:t>
                  </w:r>
                  <w:r>
                    <w:rPr>
                      <w:color w:val="auto"/>
                      <w:szCs w:val="21"/>
                    </w:rPr>
                    <w:t>021年应对气候变化和大气污染防治重点工作任务》《</w:t>
                  </w:r>
                  <w:r>
                    <w:rPr>
                      <w:rFonts w:hint="eastAsia"/>
                      <w:color w:val="auto"/>
                      <w:szCs w:val="21"/>
                    </w:rPr>
                    <w:t>长三角地区2020-2021年秋冬季大气污染综合治理攻坚行动方案</w:t>
                  </w:r>
                  <w:r>
                    <w:rPr>
                      <w:color w:val="auto"/>
                      <w:szCs w:val="21"/>
                    </w:rPr>
                    <w:t>》《安徽省打赢蓝天保卫战三年行动计划实施方案》《重点行业挥发性有机物综合治理方案》等要求，大气污染物</w:t>
                  </w:r>
                  <w:r>
                    <w:rPr>
                      <w:rFonts w:hint="eastAsia"/>
                      <w:color w:val="auto"/>
                      <w:szCs w:val="21"/>
                    </w:rPr>
                    <w:t>总量</w:t>
                  </w:r>
                  <w:r>
                    <w:rPr>
                      <w:color w:val="auto"/>
                      <w:szCs w:val="21"/>
                    </w:rPr>
                    <w:t>申请“倍量替代”，执行特别排放标准后</w:t>
                  </w:r>
                  <w:r>
                    <w:rPr>
                      <w:rFonts w:hint="eastAsia"/>
                      <w:color w:val="auto"/>
                      <w:szCs w:val="21"/>
                    </w:rPr>
                    <w:t>，</w:t>
                  </w:r>
                  <w:r>
                    <w:rPr>
                      <w:color w:val="auto"/>
                      <w:szCs w:val="21"/>
                    </w:rPr>
                    <w:t>产生的影响在环境承载力范围内，不会降低现有环境功能。</w:t>
                  </w:r>
                </w:p>
              </w:tc>
              <w:tc>
                <w:tcPr>
                  <w:tcW w:w="465" w:type="pct"/>
                  <w:tcBorders>
                    <w:bottom w:val="single" w:color="auto" w:sz="4" w:space="0"/>
                  </w:tcBorders>
                  <w:vAlign w:val="center"/>
                </w:tcPr>
                <w:p w14:paraId="3A988F26">
                  <w:pPr>
                    <w:jc w:val="center"/>
                    <w:rPr>
                      <w:color w:val="auto"/>
                      <w:szCs w:val="21"/>
                    </w:rPr>
                  </w:pPr>
                  <w:r>
                    <w:rPr>
                      <w:color w:val="auto"/>
                      <w:szCs w:val="21"/>
                    </w:rPr>
                    <w:t>符合</w:t>
                  </w:r>
                </w:p>
              </w:tc>
            </w:tr>
            <w:tr w14:paraId="1CF08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vMerge w:val="continue"/>
                  <w:tcBorders>
                    <w:bottom w:val="single" w:color="auto" w:sz="4" w:space="0"/>
                  </w:tcBorders>
                  <w:vAlign w:val="center"/>
                </w:tcPr>
                <w:p w14:paraId="4F9B524B">
                  <w:pPr>
                    <w:snapToGrid w:val="0"/>
                    <w:jc w:val="center"/>
                    <w:rPr>
                      <w:color w:val="auto"/>
                      <w:szCs w:val="21"/>
                    </w:rPr>
                  </w:pPr>
                </w:p>
              </w:tc>
              <w:tc>
                <w:tcPr>
                  <w:tcW w:w="2512" w:type="pct"/>
                  <w:tcBorders>
                    <w:bottom w:val="single" w:color="auto" w:sz="4" w:space="0"/>
                  </w:tcBorders>
                  <w:vAlign w:val="center"/>
                </w:tcPr>
                <w:p w14:paraId="15870630">
                  <w:pPr>
                    <w:snapToGrid w:val="0"/>
                    <w:jc w:val="center"/>
                    <w:rPr>
                      <w:rFonts w:eastAsia="PMingLiU"/>
                      <w:color w:val="auto"/>
                      <w:szCs w:val="21"/>
                      <w:lang w:eastAsia="zh-TW" w:bidi="zh-CN"/>
                    </w:rPr>
                  </w:pPr>
                  <w:r>
                    <w:rPr>
                      <w:color w:val="auto"/>
                      <w:szCs w:val="21"/>
                      <w:lang w:eastAsia="zh-TW" w:bidi="zh-CN"/>
                    </w:rPr>
                    <w:t>根据《安徽省土壤污染防治工作方案》、《蚌埠市土壤污染防治工作方案》要求，到2020年，蚌埠市土壤环境质量总体保持稳定，农用地和建设用地土壤环境安全得到基本保障，土壤环境风险得到基本管控。到2030年，蚌埠市土壤环境质量稳中向好，农用地和建设用地土壤环境安全得到有效保障，土壤环境风险得到全面管控。到本世纪中叶，土壤环境质量全面改善，生态系统实现良性循环。到2020年，受污染耕地安全利用率达到95%左右，污染地块安全利用率达到90%以上。到2030年，受污染耕地安全利用率达到96%以上，污染地块安全利用率达到95%以上。</w:t>
                  </w:r>
                </w:p>
                <w:p w14:paraId="0B432631">
                  <w:pPr>
                    <w:snapToGrid w:val="0"/>
                    <w:jc w:val="center"/>
                    <w:rPr>
                      <w:rFonts w:eastAsia="PMingLiU"/>
                      <w:color w:val="auto"/>
                      <w:lang w:bidi="en-US"/>
                    </w:rPr>
                  </w:pPr>
                  <w:r>
                    <w:rPr>
                      <w:color w:val="auto"/>
                      <w:szCs w:val="21"/>
                      <w:lang w:eastAsia="zh-TW" w:bidi="zh-TW"/>
                    </w:rPr>
                    <w:t>永久基本农田为土壤优先保护区</w:t>
                  </w:r>
                  <w:r>
                    <w:rPr>
                      <w:rFonts w:hint="eastAsia"/>
                      <w:color w:val="auto"/>
                      <w:szCs w:val="21"/>
                      <w:lang w:bidi="zh-TW"/>
                    </w:rPr>
                    <w:t>，</w:t>
                  </w:r>
                  <w:r>
                    <w:rPr>
                      <w:color w:val="auto"/>
                      <w:szCs w:val="21"/>
                      <w:lang w:eastAsia="zh-TW" w:bidi="zh-TW"/>
                    </w:rPr>
                    <w:t>全市共划分了</w:t>
                  </w:r>
                  <w:r>
                    <w:rPr>
                      <w:rFonts w:hint="eastAsia"/>
                      <w:color w:val="auto"/>
                      <w:szCs w:val="21"/>
                      <w:lang w:bidi="zh-TW"/>
                    </w:rPr>
                    <w:t>7个土壤优先保护区，占全市面积的5</w:t>
                  </w:r>
                  <w:r>
                    <w:rPr>
                      <w:color w:val="auto"/>
                      <w:szCs w:val="21"/>
                      <w:lang w:bidi="zh-TW"/>
                    </w:rPr>
                    <w:t>6.75</w:t>
                  </w:r>
                  <w:r>
                    <w:rPr>
                      <w:rFonts w:hint="eastAsia"/>
                      <w:color w:val="auto"/>
                      <w:szCs w:val="21"/>
                      <w:lang w:bidi="zh-TW"/>
                    </w:rPr>
                    <w:t>%。</w:t>
                  </w:r>
                </w:p>
              </w:tc>
              <w:tc>
                <w:tcPr>
                  <w:tcW w:w="1750" w:type="pct"/>
                  <w:tcBorders>
                    <w:bottom w:val="single" w:color="auto" w:sz="4" w:space="0"/>
                  </w:tcBorders>
                  <w:vAlign w:val="center"/>
                </w:tcPr>
                <w:p w14:paraId="668F7A15">
                  <w:pPr>
                    <w:snapToGrid w:val="0"/>
                    <w:jc w:val="center"/>
                    <w:rPr>
                      <w:color w:val="auto"/>
                      <w:szCs w:val="21"/>
                    </w:rPr>
                  </w:pPr>
                  <w:r>
                    <w:rPr>
                      <w:color w:val="auto"/>
                      <w:szCs w:val="21"/>
                    </w:rPr>
                    <w:t>项目位于</w:t>
                  </w:r>
                  <w:r>
                    <w:rPr>
                      <w:rFonts w:hint="eastAsia"/>
                      <w:color w:val="auto"/>
                      <w:szCs w:val="21"/>
                    </w:rPr>
                    <w:t>安徽省蚌埠市龙子湖区高铁工贸园胜利路9号（安徽瑞龙玻璃机械股份有限公司）厂房，根据《蚌埠市龙子湖区高铁工贸园区控制性详细规划环境影响报告书》</w:t>
                  </w:r>
                  <w:r>
                    <w:rPr>
                      <w:color w:val="auto"/>
                      <w:szCs w:val="21"/>
                    </w:rPr>
                    <w:t>，项目用地为工业用地</w:t>
                  </w:r>
                  <w:r>
                    <w:rPr>
                      <w:rFonts w:hint="eastAsia"/>
                      <w:color w:val="auto"/>
                      <w:szCs w:val="21"/>
                    </w:rPr>
                    <w:t>，</w:t>
                  </w:r>
                  <w:r>
                    <w:rPr>
                      <w:color w:val="auto"/>
                      <w:szCs w:val="21"/>
                    </w:rPr>
                    <w:t>不属于土壤优先保护区</w:t>
                  </w:r>
                  <w:r>
                    <w:rPr>
                      <w:rFonts w:hint="eastAsia"/>
                      <w:color w:val="auto"/>
                      <w:szCs w:val="21"/>
                    </w:rPr>
                    <w:t>，</w:t>
                  </w:r>
                  <w:r>
                    <w:rPr>
                      <w:color w:val="auto"/>
                      <w:szCs w:val="21"/>
                    </w:rPr>
                    <w:t>产生的影响在环境承载力范围内，不会降低现有环境功能</w:t>
                  </w:r>
                </w:p>
              </w:tc>
              <w:tc>
                <w:tcPr>
                  <w:tcW w:w="465" w:type="pct"/>
                  <w:tcBorders>
                    <w:bottom w:val="single" w:color="auto" w:sz="4" w:space="0"/>
                  </w:tcBorders>
                  <w:vAlign w:val="center"/>
                </w:tcPr>
                <w:p w14:paraId="5183C66B">
                  <w:pPr>
                    <w:jc w:val="center"/>
                    <w:rPr>
                      <w:color w:val="auto"/>
                      <w:szCs w:val="21"/>
                    </w:rPr>
                  </w:pPr>
                  <w:r>
                    <w:rPr>
                      <w:color w:val="auto"/>
                      <w:szCs w:val="21"/>
                    </w:rPr>
                    <w:t>符合</w:t>
                  </w:r>
                </w:p>
              </w:tc>
            </w:tr>
            <w:tr w14:paraId="48361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14:paraId="1BD98122">
                  <w:pPr>
                    <w:snapToGrid w:val="0"/>
                    <w:jc w:val="center"/>
                    <w:rPr>
                      <w:color w:val="auto"/>
                      <w:szCs w:val="21"/>
                    </w:rPr>
                  </w:pPr>
                  <w:r>
                    <w:rPr>
                      <w:rFonts w:hint="eastAsia"/>
                      <w:color w:val="auto"/>
                      <w:szCs w:val="21"/>
                    </w:rPr>
                    <w:t>资源利用上线</w:t>
                  </w:r>
                </w:p>
              </w:tc>
              <w:tc>
                <w:tcPr>
                  <w:tcW w:w="2512" w:type="pct"/>
                  <w:tcBorders>
                    <w:top w:val="single" w:color="auto" w:sz="4" w:space="0"/>
                    <w:left w:val="single" w:color="auto" w:sz="4" w:space="0"/>
                    <w:bottom w:val="single" w:color="auto" w:sz="4" w:space="0"/>
                    <w:right w:val="single" w:color="auto" w:sz="4" w:space="0"/>
                  </w:tcBorders>
                  <w:vAlign w:val="center"/>
                </w:tcPr>
                <w:p w14:paraId="2D5B85BE">
                  <w:pPr>
                    <w:snapToGrid w:val="0"/>
                    <w:jc w:val="center"/>
                    <w:rPr>
                      <w:color w:val="auto"/>
                      <w:szCs w:val="21"/>
                      <w:lang w:bidi="en-US"/>
                    </w:rPr>
                  </w:pPr>
                  <w:r>
                    <w:rPr>
                      <w:color w:val="auto"/>
                      <w:szCs w:val="21"/>
                      <w:lang w:bidi="en-US"/>
                    </w:rPr>
                    <w:t>根据《安徽省发展改革委安徽省经济和信息化委安徽省财政厅安徽省环保厅安徽省统计局安徽省能源局关于印发安徽省煤炭消费减量替代工作方案（2018-2020年）的通知》（皖发改环资〔2017）807号），通过釆取减量、替代措施，煤炭消费总量较2015年下降5%左右。</w:t>
                  </w:r>
                </w:p>
                <w:p w14:paraId="0B5C5C20">
                  <w:pPr>
                    <w:snapToGrid w:val="0"/>
                    <w:jc w:val="center"/>
                    <w:rPr>
                      <w:color w:val="auto"/>
                      <w:lang w:bidi="en-US"/>
                    </w:rPr>
                  </w:pPr>
                  <w:r>
                    <w:rPr>
                      <w:color w:val="auto"/>
                      <w:szCs w:val="21"/>
                      <w:lang w:bidi="en-US"/>
                    </w:rPr>
                    <w:t>依据《安徽省人民政府办公厅关于印发安徽省实行最严格水资源管理制度考核办法的通知》（皖政办〔2013〕49号）等文件要求，至2020年蚌埠市用水总量控制在16.13亿（贯流式火电按耗水量统计，下同）；2020年万元国内生产总值用水量比2015年下降31%、万元工业增加值用水量比2015年下降23%、农田灌溉水有效利用系数达到0.575</w:t>
                  </w:r>
                  <w:r>
                    <w:rPr>
                      <w:rFonts w:hint="eastAsia"/>
                      <w:color w:val="auto"/>
                      <w:szCs w:val="21"/>
                      <w:lang w:bidi="en-US"/>
                    </w:rPr>
                    <w:t>。</w:t>
                  </w:r>
                  <w:r>
                    <w:rPr>
                      <w:color w:val="auto"/>
                    </w:rPr>
                    <w:t>地下水开釆重点管控区</w:t>
                  </w:r>
                  <w:r>
                    <w:rPr>
                      <w:color w:val="auto"/>
                      <w:lang w:bidi="zh-TW"/>
                    </w:rPr>
                    <w:t>主要涉及固镇县城近郊区及连城镇，面积</w:t>
                  </w:r>
                  <w:r>
                    <w:rPr>
                      <w:color w:val="auto"/>
                      <w:lang w:bidi="en-US"/>
                    </w:rPr>
                    <w:t>70.98km</w:t>
                  </w:r>
                  <w:r>
                    <w:rPr>
                      <w:color w:val="auto"/>
                      <w:vertAlign w:val="superscript"/>
                      <w:lang w:bidi="en-US"/>
                    </w:rPr>
                    <w:t>2</w:t>
                  </w:r>
                  <w:r>
                    <w:rPr>
                      <w:color w:val="auto"/>
                      <w:lang w:bidi="en-US"/>
                    </w:rPr>
                    <w:t>，</w:t>
                  </w:r>
                  <w:r>
                    <w:rPr>
                      <w:color w:val="auto"/>
                      <w:lang w:bidi="zh-TW"/>
                    </w:rPr>
                    <w:t>占蚌埠市国土面积的</w:t>
                  </w:r>
                  <w:r>
                    <w:rPr>
                      <w:color w:val="auto"/>
                      <w:lang w:bidi="en-US"/>
                    </w:rPr>
                    <w:t>1.19%</w:t>
                  </w:r>
                  <w:r>
                    <w:rPr>
                      <w:rFonts w:hint="eastAsia"/>
                      <w:color w:val="auto"/>
                      <w:lang w:bidi="en-US"/>
                    </w:rPr>
                    <w:t>。</w:t>
                  </w:r>
                </w:p>
                <w:p w14:paraId="02EAEB0A">
                  <w:pPr>
                    <w:snapToGrid w:val="0"/>
                    <w:jc w:val="center"/>
                    <w:rPr>
                      <w:color w:val="auto"/>
                      <w:szCs w:val="21"/>
                    </w:rPr>
                  </w:pPr>
                  <w:r>
                    <w:rPr>
                      <w:color w:val="auto"/>
                      <w:szCs w:val="21"/>
                    </w:rPr>
                    <w:t>根据《国土资源部关于安徽省土地利用总体规划（2006-2020年）有关指标调整的函》（国土资函〔2017〕355号）</w:t>
                  </w:r>
                  <w:r>
                    <w:rPr>
                      <w:rFonts w:hint="eastAsia"/>
                      <w:color w:val="auto"/>
                      <w:szCs w:val="21"/>
                    </w:rPr>
                    <w:t>、</w:t>
                  </w:r>
                  <w:r>
                    <w:rPr>
                      <w:color w:val="auto"/>
                    </w:rPr>
                    <w:t>《安徽省主体功能区规划》</w:t>
                  </w:r>
                  <w:r>
                    <w:rPr>
                      <w:rFonts w:hint="eastAsia"/>
                      <w:color w:val="auto"/>
                      <w:szCs w:val="21"/>
                    </w:rPr>
                    <w:t>等文件</w:t>
                  </w:r>
                  <w:r>
                    <w:rPr>
                      <w:color w:val="auto"/>
                      <w:szCs w:val="21"/>
                    </w:rPr>
                    <w:t>，</w:t>
                  </w:r>
                  <w:r>
                    <w:rPr>
                      <w:rFonts w:hint="eastAsia"/>
                      <w:color w:val="auto"/>
                      <w:szCs w:val="21"/>
                    </w:rPr>
                    <w:t>蚌埠市无土地资源重点管控区。</w:t>
                  </w:r>
                </w:p>
              </w:tc>
              <w:tc>
                <w:tcPr>
                  <w:tcW w:w="1750" w:type="pct"/>
                  <w:tcBorders>
                    <w:top w:val="single" w:color="auto" w:sz="4" w:space="0"/>
                    <w:left w:val="single" w:color="auto" w:sz="4" w:space="0"/>
                    <w:bottom w:val="single" w:color="auto" w:sz="4" w:space="0"/>
                    <w:right w:val="single" w:color="auto" w:sz="4" w:space="0"/>
                  </w:tcBorders>
                  <w:vAlign w:val="center"/>
                </w:tcPr>
                <w:p w14:paraId="25F3CEAE">
                  <w:pPr>
                    <w:widowControl/>
                    <w:snapToGrid w:val="0"/>
                    <w:jc w:val="center"/>
                    <w:rPr>
                      <w:color w:val="auto"/>
                      <w:szCs w:val="21"/>
                    </w:rPr>
                  </w:pPr>
                  <w:r>
                    <w:rPr>
                      <w:color w:val="auto"/>
                      <w:szCs w:val="21"/>
                    </w:rPr>
                    <w:t>本项目生产过程中不使用煤炭</w:t>
                  </w:r>
                  <w:r>
                    <w:rPr>
                      <w:rFonts w:hint="eastAsia"/>
                      <w:color w:val="auto"/>
                      <w:szCs w:val="21"/>
                    </w:rPr>
                    <w:t>，</w:t>
                  </w:r>
                  <w:r>
                    <w:rPr>
                      <w:color w:val="auto"/>
                      <w:szCs w:val="21"/>
                    </w:rPr>
                    <w:t>仅消耗一定的水、电，项目资源消耗量占区域资源利用总量较少，符合资源利用上线要求。</w:t>
                  </w:r>
                </w:p>
              </w:tc>
              <w:tc>
                <w:tcPr>
                  <w:tcW w:w="465" w:type="pct"/>
                  <w:tcBorders>
                    <w:top w:val="single" w:color="auto" w:sz="4" w:space="0"/>
                    <w:left w:val="single" w:color="auto" w:sz="4" w:space="0"/>
                    <w:bottom w:val="single" w:color="auto" w:sz="4" w:space="0"/>
                    <w:right w:val="single" w:color="auto" w:sz="4" w:space="0"/>
                  </w:tcBorders>
                  <w:vAlign w:val="center"/>
                </w:tcPr>
                <w:p w14:paraId="2007B226">
                  <w:pPr>
                    <w:jc w:val="center"/>
                    <w:rPr>
                      <w:color w:val="auto"/>
                      <w:szCs w:val="21"/>
                    </w:rPr>
                  </w:pPr>
                  <w:r>
                    <w:rPr>
                      <w:color w:val="auto"/>
                      <w:szCs w:val="21"/>
                    </w:rPr>
                    <w:t>符合</w:t>
                  </w:r>
                </w:p>
              </w:tc>
            </w:tr>
            <w:tr w14:paraId="224E4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273" w:type="pct"/>
                  <w:tcBorders>
                    <w:top w:val="single" w:color="auto" w:sz="4" w:space="0"/>
                    <w:left w:val="single" w:color="auto" w:sz="4" w:space="0"/>
                    <w:bottom w:val="single" w:color="auto" w:sz="4" w:space="0"/>
                    <w:right w:val="single" w:color="auto" w:sz="4" w:space="0"/>
                  </w:tcBorders>
                  <w:vAlign w:val="center"/>
                </w:tcPr>
                <w:p w14:paraId="2FBDDCEB">
                  <w:pPr>
                    <w:snapToGrid w:val="0"/>
                    <w:jc w:val="center"/>
                    <w:rPr>
                      <w:color w:val="auto"/>
                      <w:szCs w:val="21"/>
                    </w:rPr>
                  </w:pPr>
                  <w:r>
                    <w:rPr>
                      <w:rFonts w:hint="eastAsia"/>
                      <w:color w:val="auto"/>
                      <w:szCs w:val="21"/>
                    </w:rPr>
                    <w:t>生态环境准入清单</w:t>
                  </w:r>
                </w:p>
              </w:tc>
              <w:tc>
                <w:tcPr>
                  <w:tcW w:w="2512" w:type="pct"/>
                  <w:tcBorders>
                    <w:top w:val="single" w:color="auto" w:sz="4" w:space="0"/>
                    <w:left w:val="single" w:color="auto" w:sz="4" w:space="0"/>
                    <w:bottom w:val="single" w:color="auto" w:sz="4" w:space="0"/>
                    <w:right w:val="single" w:color="auto" w:sz="4" w:space="0"/>
                  </w:tcBorders>
                  <w:vAlign w:val="center"/>
                </w:tcPr>
                <w:p w14:paraId="3FF99B21">
                  <w:pPr>
                    <w:snapToGrid w:val="0"/>
                    <w:jc w:val="center"/>
                    <w:rPr>
                      <w:color w:val="auto"/>
                      <w:szCs w:val="21"/>
                      <w:lang w:bidi="zh-TW"/>
                    </w:rPr>
                  </w:pPr>
                  <w:r>
                    <w:rPr>
                      <w:color w:val="auto"/>
                      <w:szCs w:val="21"/>
                      <w:lang w:bidi="zh-TW"/>
                    </w:rPr>
                    <w:t>根据安徽省三线一单成果，全省建立</w:t>
                  </w:r>
                  <w:r>
                    <w:rPr>
                      <w:color w:val="auto"/>
                      <w:szCs w:val="21"/>
                      <w:lang w:bidi="en-US"/>
                    </w:rPr>
                    <w:t>“1+5+16+N”</w:t>
                  </w:r>
                  <w:r>
                    <w:rPr>
                      <w:color w:val="auto"/>
                      <w:szCs w:val="21"/>
                      <w:lang w:bidi="zh-TW"/>
                    </w:rPr>
                    <w:t>的四级清单管控体系。省级建立并发布省级清单、区域清单；初步确定市级清单，制作管控单元清单模板，市级清单、管控单元清单在市级</w:t>
                  </w:r>
                  <w:r>
                    <w:rPr>
                      <w:color w:val="auto"/>
                      <w:szCs w:val="21"/>
                      <w:lang w:bidi="zh-CN"/>
                    </w:rPr>
                    <w:t>“三线</w:t>
                  </w:r>
                  <w:r>
                    <w:rPr>
                      <w:color w:val="auto"/>
                      <w:szCs w:val="21"/>
                      <w:lang w:bidi="zh-TW"/>
                    </w:rPr>
                    <w:t>一单”编制过程中进一步细化。</w:t>
                  </w:r>
                  <w:r>
                    <w:rPr>
                      <w:rFonts w:hint="eastAsia"/>
                      <w:color w:val="auto"/>
                      <w:szCs w:val="21"/>
                      <w:lang w:bidi="zh-TW"/>
                    </w:rPr>
                    <w:t>蚌埠市形成了</w:t>
                  </w:r>
                  <w:r>
                    <w:rPr>
                      <w:color w:val="auto"/>
                      <w:szCs w:val="21"/>
                      <w:lang w:bidi="zh-TW"/>
                    </w:rPr>
                    <w:t>“1+1”+“1+15+132”</w:t>
                  </w:r>
                  <w:r>
                    <w:rPr>
                      <w:rFonts w:hint="eastAsia"/>
                      <w:color w:val="auto"/>
                      <w:szCs w:val="21"/>
                      <w:lang w:bidi="zh-TW"/>
                    </w:rPr>
                    <w:t>的管控体系。</w:t>
                  </w:r>
                  <w:r>
                    <w:rPr>
                      <w:color w:val="auto"/>
                      <w:szCs w:val="21"/>
                      <w:lang w:bidi="zh-TW"/>
                    </w:rPr>
                    <w:t>“1+1”</w:t>
                  </w:r>
                  <w:r>
                    <w:rPr>
                      <w:rFonts w:hint="eastAsia"/>
                      <w:color w:val="auto"/>
                      <w:szCs w:val="21"/>
                      <w:lang w:bidi="zh-TW"/>
                    </w:rPr>
                    <w:t>即省级和沿淮两个区域清单，</w:t>
                  </w:r>
                  <w:r>
                    <w:rPr>
                      <w:color w:val="auto"/>
                      <w:szCs w:val="21"/>
                      <w:lang w:bidi="zh-TW"/>
                    </w:rPr>
                    <w:t>“1+15+132”</w:t>
                  </w:r>
                  <w:r>
                    <w:rPr>
                      <w:rFonts w:hint="eastAsia"/>
                      <w:color w:val="auto"/>
                      <w:szCs w:val="21"/>
                      <w:lang w:bidi="zh-TW"/>
                    </w:rPr>
                    <w:t>即</w:t>
                  </w:r>
                  <w:r>
                    <w:rPr>
                      <w:color w:val="auto"/>
                      <w:szCs w:val="21"/>
                      <w:lang w:bidi="zh-TW"/>
                    </w:rPr>
                    <w:t>1</w:t>
                  </w:r>
                  <w:r>
                    <w:rPr>
                      <w:rFonts w:hint="eastAsia"/>
                      <w:color w:val="auto"/>
                      <w:szCs w:val="21"/>
                      <w:lang w:bidi="zh-TW"/>
                    </w:rPr>
                    <w:t>个市级清单、</w:t>
                  </w:r>
                  <w:r>
                    <w:rPr>
                      <w:color w:val="auto"/>
                      <w:szCs w:val="21"/>
                      <w:lang w:bidi="zh-TW"/>
                    </w:rPr>
                    <w:t>15</w:t>
                  </w:r>
                  <w:r>
                    <w:rPr>
                      <w:rFonts w:hint="eastAsia"/>
                      <w:color w:val="auto"/>
                      <w:szCs w:val="21"/>
                      <w:lang w:bidi="zh-TW"/>
                    </w:rPr>
                    <w:t>个开发区清单和</w:t>
                  </w:r>
                  <w:r>
                    <w:rPr>
                      <w:color w:val="auto"/>
                      <w:szCs w:val="21"/>
                      <w:lang w:bidi="zh-TW"/>
                    </w:rPr>
                    <w:t>132</w:t>
                  </w:r>
                  <w:r>
                    <w:rPr>
                      <w:rFonts w:hint="eastAsia"/>
                      <w:color w:val="auto"/>
                      <w:szCs w:val="21"/>
                      <w:lang w:bidi="zh-TW"/>
                    </w:rPr>
                    <w:t>个管控单元清单。</w:t>
                  </w:r>
                </w:p>
              </w:tc>
              <w:tc>
                <w:tcPr>
                  <w:tcW w:w="1750" w:type="pct"/>
                  <w:tcBorders>
                    <w:top w:val="single" w:color="auto" w:sz="4" w:space="0"/>
                    <w:left w:val="single" w:color="auto" w:sz="4" w:space="0"/>
                    <w:bottom w:val="single" w:color="auto" w:sz="4" w:space="0"/>
                    <w:right w:val="single" w:color="auto" w:sz="4" w:space="0"/>
                  </w:tcBorders>
                  <w:vAlign w:val="center"/>
                </w:tcPr>
                <w:p w14:paraId="64E16755">
                  <w:pPr>
                    <w:snapToGrid w:val="0"/>
                    <w:jc w:val="center"/>
                    <w:rPr>
                      <w:color w:val="auto"/>
                      <w:szCs w:val="21"/>
                    </w:rPr>
                  </w:pPr>
                  <w:r>
                    <w:rPr>
                      <w:color w:val="auto"/>
                      <w:szCs w:val="21"/>
                    </w:rPr>
                    <w:t>对照国家产业政策和《</w:t>
                  </w:r>
                  <w:r>
                    <w:rPr>
                      <w:rFonts w:hint="eastAsia"/>
                      <w:color w:val="auto"/>
                      <w:szCs w:val="21"/>
                    </w:rPr>
                    <w:t>长江</w:t>
                  </w:r>
                  <w:r>
                    <w:rPr>
                      <w:color w:val="auto"/>
                      <w:szCs w:val="21"/>
                    </w:rPr>
                    <w:t>经济带战略环境评价安徽省蚌埠市</w:t>
                  </w:r>
                  <w:r>
                    <w:rPr>
                      <w:rFonts w:hint="eastAsia"/>
                      <w:color w:val="auto"/>
                      <w:szCs w:val="21"/>
                    </w:rPr>
                    <w:t>“三线一单”生态环境准入清单</w:t>
                  </w:r>
                  <w:r>
                    <w:rPr>
                      <w:color w:val="auto"/>
                      <w:szCs w:val="21"/>
                    </w:rPr>
                    <w:t>》</w:t>
                  </w:r>
                  <w:r>
                    <w:rPr>
                      <w:rFonts w:hint="eastAsia"/>
                      <w:color w:val="auto"/>
                      <w:szCs w:val="21"/>
                    </w:rPr>
                    <w:t>和《蚌埠市龙子湖区高铁工贸园区控制性详细规划环境影响报告书》开发区禁止、限制进入类项目一览表</w:t>
                  </w:r>
                  <w:r>
                    <w:rPr>
                      <w:color w:val="auto"/>
                      <w:szCs w:val="21"/>
                    </w:rPr>
                    <w:t>，本项目不在其禁止准入类和限制准入类中。因此本项目符合国家产业政策、蚌埠市龙子湖区</w:t>
                  </w:r>
                  <w:r>
                    <w:rPr>
                      <w:rFonts w:hint="eastAsia"/>
                      <w:color w:val="auto"/>
                      <w:szCs w:val="21"/>
                    </w:rPr>
                    <w:t>相关规划</w:t>
                  </w:r>
                  <w:r>
                    <w:rPr>
                      <w:color w:val="auto"/>
                      <w:szCs w:val="21"/>
                    </w:rPr>
                    <w:t>和《</w:t>
                  </w:r>
                  <w:r>
                    <w:rPr>
                      <w:rFonts w:hint="eastAsia"/>
                      <w:color w:val="auto"/>
                      <w:szCs w:val="21"/>
                    </w:rPr>
                    <w:t>长江</w:t>
                  </w:r>
                  <w:r>
                    <w:rPr>
                      <w:color w:val="auto"/>
                      <w:szCs w:val="21"/>
                    </w:rPr>
                    <w:t>经济带战略环境评价安徽省蚌埠市</w:t>
                  </w:r>
                  <w:r>
                    <w:rPr>
                      <w:rFonts w:hint="eastAsia"/>
                      <w:color w:val="auto"/>
                      <w:szCs w:val="21"/>
                    </w:rPr>
                    <w:t>“三线一单”生态环境准入清单</w:t>
                  </w:r>
                  <w:r>
                    <w:rPr>
                      <w:color w:val="auto"/>
                      <w:szCs w:val="21"/>
                    </w:rPr>
                    <w:t>》要求。</w:t>
                  </w:r>
                </w:p>
              </w:tc>
              <w:tc>
                <w:tcPr>
                  <w:tcW w:w="465" w:type="pct"/>
                  <w:tcBorders>
                    <w:top w:val="single" w:color="auto" w:sz="4" w:space="0"/>
                    <w:left w:val="single" w:color="auto" w:sz="4" w:space="0"/>
                    <w:bottom w:val="single" w:color="auto" w:sz="4" w:space="0"/>
                    <w:right w:val="single" w:color="auto" w:sz="4" w:space="0"/>
                  </w:tcBorders>
                  <w:vAlign w:val="center"/>
                </w:tcPr>
                <w:p w14:paraId="7943695D">
                  <w:pPr>
                    <w:jc w:val="center"/>
                    <w:rPr>
                      <w:color w:val="auto"/>
                      <w:szCs w:val="21"/>
                    </w:rPr>
                  </w:pPr>
                  <w:r>
                    <w:rPr>
                      <w:color w:val="auto"/>
                      <w:szCs w:val="21"/>
                    </w:rPr>
                    <w:t>符合</w:t>
                  </w:r>
                </w:p>
              </w:tc>
            </w:tr>
          </w:tbl>
          <w:p w14:paraId="32443BA1">
            <w:pPr>
              <w:pStyle w:val="41"/>
              <w:ind w:firstLine="480"/>
              <w:rPr>
                <w:rFonts w:ascii="宋体" w:hAnsi="宋体" w:cs="仿宋"/>
                <w:color w:val="auto"/>
                <w:spacing w:val="4"/>
              </w:rPr>
            </w:pPr>
            <w:r>
              <w:rPr>
                <w:rFonts w:hint="eastAsia"/>
                <w:color w:val="auto"/>
                <w:kern w:val="0"/>
                <w:szCs w:val="21"/>
                <w:lang w:val="en-US" w:eastAsia="zh-CN"/>
              </w:rPr>
              <w:t>7</w:t>
            </w:r>
            <w:r>
              <w:rPr>
                <w:rFonts w:hint="eastAsia"/>
                <w:color w:val="auto"/>
                <w:kern w:val="0"/>
                <w:szCs w:val="21"/>
              </w:rPr>
              <w:t>、</w:t>
            </w:r>
            <w:r>
              <w:rPr>
                <w:rFonts w:hint="eastAsia" w:ascii="宋体" w:hAnsi="宋体" w:cs="仿宋"/>
                <w:color w:val="auto"/>
                <w:spacing w:val="4"/>
              </w:rPr>
              <w:t>项目排污管理类别分析</w:t>
            </w:r>
          </w:p>
          <w:p w14:paraId="750BF1CF">
            <w:pPr>
              <w:pStyle w:val="41"/>
              <w:ind w:firstLine="480"/>
              <w:rPr>
                <w:color w:val="auto"/>
                <w:kern w:val="0"/>
                <w:szCs w:val="21"/>
              </w:rPr>
            </w:pPr>
            <w:r>
              <w:rPr>
                <w:color w:val="auto"/>
                <w:kern w:val="0"/>
                <w:szCs w:val="21"/>
              </w:rPr>
              <w:t>安徽省生态环境厅于</w:t>
            </w:r>
            <w:r>
              <w:rPr>
                <w:rFonts w:hint="eastAsia"/>
                <w:color w:val="auto"/>
                <w:kern w:val="0"/>
                <w:szCs w:val="21"/>
              </w:rPr>
              <w:t>2</w:t>
            </w:r>
            <w:r>
              <w:rPr>
                <w:color w:val="auto"/>
                <w:kern w:val="0"/>
                <w:szCs w:val="21"/>
              </w:rPr>
              <w:t>021年</w:t>
            </w:r>
            <w:r>
              <w:rPr>
                <w:rFonts w:hint="eastAsia"/>
                <w:color w:val="auto"/>
                <w:kern w:val="0"/>
                <w:szCs w:val="21"/>
              </w:rPr>
              <w:t>1月3</w:t>
            </w:r>
            <w:r>
              <w:rPr>
                <w:color w:val="auto"/>
                <w:kern w:val="0"/>
                <w:szCs w:val="21"/>
              </w:rPr>
              <w:t>0日发布的</w:t>
            </w:r>
            <w:r>
              <w:rPr>
                <w:rFonts w:hint="eastAsia"/>
                <w:color w:val="auto"/>
                <w:kern w:val="0"/>
                <w:szCs w:val="21"/>
              </w:rPr>
              <w:t>《安徽省生态环境厅关于统筹做好固定污染源许可日常监管工作的通知》（皖环发[</w:t>
            </w:r>
            <w:r>
              <w:rPr>
                <w:color w:val="auto"/>
                <w:kern w:val="0"/>
                <w:szCs w:val="21"/>
              </w:rPr>
              <w:t>2021]7号</w:t>
            </w:r>
            <w:r>
              <w:rPr>
                <w:rFonts w:hint="eastAsia"/>
                <w:color w:val="auto"/>
                <w:kern w:val="0"/>
                <w:szCs w:val="21"/>
              </w:rPr>
              <w:t>）中提出“积极探索排污许可与环评制度的联动试点。</w:t>
            </w:r>
            <w:r>
              <w:rPr>
                <w:color w:val="auto"/>
                <w:kern w:val="0"/>
                <w:szCs w:val="21"/>
              </w:rPr>
              <w:t>按照</w:t>
            </w:r>
            <w:r>
              <w:rPr>
                <w:rFonts w:hint="eastAsia"/>
                <w:color w:val="auto"/>
                <w:kern w:val="0"/>
                <w:szCs w:val="21"/>
              </w:rPr>
              <w:t>‘</w:t>
            </w:r>
            <w:r>
              <w:rPr>
                <w:color w:val="auto"/>
                <w:kern w:val="0"/>
                <w:szCs w:val="21"/>
              </w:rPr>
              <w:t>新老有别、平稳过渡</w:t>
            </w:r>
            <w:r>
              <w:rPr>
                <w:rFonts w:hint="eastAsia"/>
                <w:color w:val="auto"/>
                <w:kern w:val="0"/>
                <w:szCs w:val="21"/>
              </w:rPr>
              <w:t>’</w:t>
            </w:r>
            <w:r>
              <w:rPr>
                <w:color w:val="auto"/>
                <w:kern w:val="0"/>
                <w:szCs w:val="21"/>
              </w:rPr>
              <w:t>的原则，探索推进环评制度与排污许可制度的</w:t>
            </w:r>
            <w:r>
              <w:rPr>
                <w:rFonts w:hint="eastAsia"/>
                <w:color w:val="auto"/>
                <w:kern w:val="0"/>
                <w:szCs w:val="21"/>
              </w:rPr>
              <w:t>‘</w:t>
            </w:r>
            <w:r>
              <w:rPr>
                <w:color w:val="auto"/>
                <w:kern w:val="0"/>
                <w:szCs w:val="21"/>
              </w:rPr>
              <w:t>两证合一</w:t>
            </w:r>
            <w:r>
              <w:rPr>
                <w:rFonts w:hint="eastAsia"/>
                <w:color w:val="auto"/>
                <w:kern w:val="0"/>
                <w:szCs w:val="21"/>
              </w:rPr>
              <w:t>’</w:t>
            </w:r>
            <w:r>
              <w:rPr>
                <w:color w:val="auto"/>
                <w:kern w:val="0"/>
                <w:szCs w:val="21"/>
              </w:rPr>
              <w:t>联动试点，为建设项目实际排污行为发生前申领（变更）排污许可证提供填报依据和技术支撑。属于现行《固定污染源排污许可分类管理名录》</w:t>
            </w:r>
            <w:r>
              <w:rPr>
                <w:rFonts w:hint="eastAsia"/>
                <w:color w:val="auto"/>
                <w:kern w:val="0"/>
                <w:szCs w:val="21"/>
                <w:lang w:eastAsia="zh-CN"/>
              </w:rPr>
              <w:t>登记</w:t>
            </w:r>
            <w:r>
              <w:rPr>
                <w:color w:val="auto"/>
                <w:kern w:val="0"/>
                <w:szCs w:val="21"/>
              </w:rPr>
              <w:t>管理的行业，建设单位在组织编制建设项目环境影响报告书（表）时，可结合相应行业排污许可证申请与核发技术规范，在环评文件中一并明确</w:t>
            </w:r>
            <w:r>
              <w:rPr>
                <w:rFonts w:hint="eastAsia"/>
                <w:color w:val="auto"/>
                <w:kern w:val="0"/>
                <w:szCs w:val="21"/>
              </w:rPr>
              <w:t>‘</w:t>
            </w:r>
            <w:r>
              <w:rPr>
                <w:color w:val="auto"/>
                <w:kern w:val="0"/>
                <w:szCs w:val="21"/>
              </w:rPr>
              <w:t>建设项目环境影响评价与排污许可联动内容</w:t>
            </w:r>
            <w:r>
              <w:rPr>
                <w:rFonts w:hint="eastAsia"/>
                <w:color w:val="auto"/>
                <w:kern w:val="0"/>
                <w:szCs w:val="21"/>
              </w:rPr>
              <w:t>’</w:t>
            </w:r>
            <w:r>
              <w:rPr>
                <w:color w:val="auto"/>
                <w:kern w:val="0"/>
                <w:szCs w:val="21"/>
              </w:rPr>
              <w:t>和《建设项目排污许可申请与填报信息表》，生态环境部门在环评文件受理和审批过程中同步审核。</w:t>
            </w:r>
            <w:r>
              <w:rPr>
                <w:rFonts w:hint="eastAsia"/>
                <w:color w:val="auto"/>
                <w:kern w:val="0"/>
                <w:szCs w:val="21"/>
              </w:rPr>
              <w:t>”</w:t>
            </w:r>
          </w:p>
          <w:p w14:paraId="17A1890E">
            <w:pPr>
              <w:pStyle w:val="41"/>
              <w:ind w:firstLine="480"/>
              <w:rPr>
                <w:rFonts w:hint="eastAsia"/>
                <w:color w:val="auto"/>
                <w:kern w:val="0"/>
                <w:szCs w:val="21"/>
              </w:rPr>
            </w:pPr>
            <w:r>
              <w:rPr>
                <w:color w:val="auto"/>
                <w:kern w:val="0"/>
                <w:szCs w:val="21"/>
              </w:rPr>
              <w:t>根据</w:t>
            </w:r>
            <w:r>
              <w:rPr>
                <w:rFonts w:hint="eastAsia"/>
                <w:color w:val="auto"/>
                <w:kern w:val="0"/>
                <w:szCs w:val="21"/>
              </w:rPr>
              <w:t>《国民经济行业分类》(GBT4754-2017)</w:t>
            </w:r>
            <w:r>
              <w:rPr>
                <w:color w:val="auto"/>
                <w:kern w:val="0"/>
                <w:szCs w:val="21"/>
              </w:rPr>
              <w:t>及国家统计局关于</w:t>
            </w:r>
            <w:r>
              <w:rPr>
                <w:color w:val="auto"/>
              </w:rPr>
              <w:fldChar w:fldCharType="begin"/>
            </w:r>
            <w:r>
              <w:rPr>
                <w:color w:val="auto"/>
              </w:rPr>
              <w:instrText xml:space="preserve"> HYPERLINK "https://www.eiacloud.com/hpyzs/lawsRegulations/searchDetail?id=3448381b4f9948838b38b8adbbd575aa" \t "_blank" </w:instrText>
            </w:r>
            <w:r>
              <w:rPr>
                <w:color w:val="auto"/>
              </w:rPr>
              <w:fldChar w:fldCharType="separate"/>
            </w:r>
            <w:r>
              <w:rPr>
                <w:color w:val="auto"/>
              </w:rPr>
              <w:t>《执行国民经济行业分类第1号修改单的通知（国统字</w:t>
            </w:r>
            <w:r>
              <w:rPr>
                <w:rFonts w:hint="eastAsia"/>
                <w:color w:val="auto"/>
              </w:rPr>
              <w:t>[</w:t>
            </w:r>
            <w:r>
              <w:rPr>
                <w:color w:val="auto"/>
              </w:rPr>
              <w:t>2019</w:t>
            </w:r>
            <w:r>
              <w:rPr>
                <w:rFonts w:hint="eastAsia"/>
                <w:color w:val="auto"/>
              </w:rPr>
              <w:t>]</w:t>
            </w:r>
            <w:r>
              <w:rPr>
                <w:color w:val="auto"/>
              </w:rPr>
              <w:t>66号）文》</w:t>
            </w:r>
            <w:r>
              <w:rPr>
                <w:color w:val="auto"/>
              </w:rPr>
              <w:fldChar w:fldCharType="end"/>
            </w:r>
            <w:r>
              <w:rPr>
                <w:rFonts w:hint="eastAsia"/>
                <w:color w:val="auto"/>
                <w:kern w:val="0"/>
                <w:szCs w:val="21"/>
              </w:rPr>
              <w:t>，</w:t>
            </w:r>
            <w:r>
              <w:rPr>
                <w:color w:val="auto"/>
                <w:kern w:val="0"/>
                <w:szCs w:val="21"/>
              </w:rPr>
              <w:t>本项目属于</w:t>
            </w:r>
            <w:r>
              <w:rPr>
                <w:rFonts w:hint="eastAsia"/>
                <w:color w:val="auto"/>
                <w:kern w:val="0"/>
                <w:szCs w:val="21"/>
              </w:rPr>
              <w:t>C3099 其他非金属矿物制品制造，</w:t>
            </w:r>
            <w:r>
              <w:rPr>
                <w:color w:val="auto"/>
                <w:kern w:val="0"/>
                <w:szCs w:val="21"/>
              </w:rPr>
              <w:t>对照《固定污染源排污许可分类管理名录》</w:t>
            </w:r>
            <w:r>
              <w:rPr>
                <w:rFonts w:hint="eastAsia"/>
                <w:color w:val="auto"/>
                <w:kern w:val="0"/>
                <w:szCs w:val="21"/>
              </w:rPr>
              <w:t>（2</w:t>
            </w:r>
            <w:r>
              <w:rPr>
                <w:color w:val="auto"/>
                <w:kern w:val="0"/>
                <w:szCs w:val="21"/>
              </w:rPr>
              <w:t>019版</w:t>
            </w:r>
            <w:r>
              <w:rPr>
                <w:rFonts w:hint="eastAsia"/>
                <w:color w:val="auto"/>
                <w:kern w:val="0"/>
                <w:szCs w:val="21"/>
              </w:rPr>
              <w:t>），本项目属于“二十七、非金属矿物制品业 30–60 石墨及其他非金属矿物制品制造 309 -其他”，不涉及通用工序，属于登记管理。故本项目排污许执行登记管理。</w:t>
            </w:r>
          </w:p>
          <w:p w14:paraId="45A34719">
            <w:pPr>
              <w:pStyle w:val="41"/>
              <w:ind w:firstLine="0" w:firstLineChars="0"/>
              <w:rPr>
                <w:color w:val="auto"/>
                <w:kern w:val="0"/>
                <w:szCs w:val="21"/>
              </w:rPr>
            </w:pPr>
          </w:p>
        </w:tc>
      </w:tr>
    </w:tbl>
    <w:p w14:paraId="2F462E50">
      <w:pPr>
        <w:widowControl/>
        <w:ind w:left="-851" w:leftChars="-406" w:right="-764" w:rightChars="-364" w:hanging="2"/>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二、建设项目工程分析</w:t>
      </w:r>
    </w:p>
    <w:tbl>
      <w:tblPr>
        <w:tblStyle w:val="26"/>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039"/>
      </w:tblGrid>
      <w:tr w14:paraId="7FC2D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8628CBF">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建设内容</w:t>
            </w:r>
          </w:p>
        </w:tc>
        <w:tc>
          <w:tcPr>
            <w:tcW w:w="4717" w:type="pct"/>
          </w:tcPr>
          <w:p w14:paraId="5B1B556C">
            <w:pPr>
              <w:adjustRightInd w:val="0"/>
              <w:snapToGrid w:val="0"/>
              <w:spacing w:line="500" w:lineRule="exact"/>
              <w:ind w:firstLine="480" w:firstLineChars="200"/>
              <w:rPr>
                <w:color w:val="auto"/>
                <w:sz w:val="24"/>
              </w:rPr>
            </w:pPr>
            <w:r>
              <w:rPr>
                <w:color w:val="auto"/>
                <w:sz w:val="24"/>
              </w:rPr>
              <w:t>为满足市场需求，</w:t>
            </w:r>
            <w:bookmarkStart w:id="3" w:name="_Hlk104278760"/>
            <w:r>
              <w:rPr>
                <w:rFonts w:hint="eastAsia"/>
                <w:color w:val="auto"/>
                <w:sz w:val="24"/>
                <w:lang w:eastAsia="zh-CN"/>
              </w:rPr>
              <w:t>安徽中江材料科技有限公司</w:t>
            </w:r>
            <w:r>
              <w:rPr>
                <w:color w:val="auto"/>
                <w:sz w:val="24"/>
              </w:rPr>
              <w:t>拟计划投资</w:t>
            </w:r>
            <w:r>
              <w:rPr>
                <w:rFonts w:hint="eastAsia"/>
                <w:color w:val="auto"/>
                <w:sz w:val="24"/>
                <w:lang w:val="en-US" w:eastAsia="zh-CN"/>
              </w:rPr>
              <w:t>3200</w:t>
            </w:r>
            <w:r>
              <w:rPr>
                <w:color w:val="auto"/>
                <w:sz w:val="24"/>
              </w:rPr>
              <w:t>万元，在安徽省蚌埠市龙子湖区</w:t>
            </w:r>
            <w:r>
              <w:rPr>
                <w:rFonts w:hint="eastAsia"/>
                <w:color w:val="auto"/>
                <w:sz w:val="24"/>
                <w:lang w:eastAsia="zh-CN"/>
              </w:rPr>
              <w:t>高铁工贸园胜利路</w:t>
            </w:r>
            <w:r>
              <w:rPr>
                <w:rFonts w:hint="eastAsia"/>
                <w:color w:val="auto"/>
                <w:sz w:val="24"/>
                <w:lang w:val="en-US" w:eastAsia="zh-CN"/>
              </w:rPr>
              <w:t>9号（安徽瑞龙玻璃机械股份有限公司）</w:t>
            </w:r>
            <w:r>
              <w:rPr>
                <w:rFonts w:hint="eastAsia"/>
                <w:color w:val="auto"/>
                <w:sz w:val="24"/>
              </w:rPr>
              <w:t>租赁</w:t>
            </w:r>
            <w:r>
              <w:rPr>
                <w:color w:val="auto"/>
                <w:sz w:val="24"/>
              </w:rPr>
              <w:t>标准化厂房，投资建设</w:t>
            </w:r>
            <w:r>
              <w:rPr>
                <w:rFonts w:hint="eastAsia"/>
                <w:color w:val="auto"/>
                <w:sz w:val="24"/>
                <w:highlight w:val="none"/>
                <w:lang w:eastAsia="zh-CN"/>
              </w:rPr>
              <w:t>安徽中江材料科技有限公司年产5000吨化妆品级抗紫外线球形复合功能填料生产线项目</w:t>
            </w:r>
            <w:r>
              <w:rPr>
                <w:color w:val="auto"/>
                <w:sz w:val="24"/>
              </w:rPr>
              <w:t>，总建筑面积</w:t>
            </w:r>
            <w:r>
              <w:rPr>
                <w:rFonts w:hint="eastAsia"/>
                <w:color w:val="auto"/>
                <w:sz w:val="24"/>
                <w:lang w:val="en-US" w:eastAsia="zh-CN"/>
              </w:rPr>
              <w:t>3000</w:t>
            </w:r>
            <w:r>
              <w:rPr>
                <w:color w:val="auto"/>
                <w:sz w:val="24"/>
              </w:rPr>
              <w:t>m</w:t>
            </w:r>
            <w:r>
              <w:rPr>
                <w:color w:val="auto"/>
                <w:sz w:val="24"/>
                <w:vertAlign w:val="superscript"/>
              </w:rPr>
              <w:t>2</w:t>
            </w:r>
            <w:r>
              <w:rPr>
                <w:color w:val="auto"/>
                <w:sz w:val="24"/>
              </w:rPr>
              <w:t>，项目建成后，形成年产</w:t>
            </w:r>
            <w:r>
              <w:rPr>
                <w:rFonts w:hint="eastAsia"/>
                <w:color w:val="auto"/>
                <w:sz w:val="24"/>
                <w:lang w:val="en-US" w:eastAsia="zh-CN"/>
              </w:rPr>
              <w:t>5</w:t>
            </w:r>
            <w:r>
              <w:rPr>
                <w:color w:val="auto"/>
                <w:sz w:val="24"/>
              </w:rPr>
              <w:t>万</w:t>
            </w:r>
            <w:r>
              <w:rPr>
                <w:rFonts w:hint="eastAsia"/>
                <w:color w:val="auto"/>
                <w:sz w:val="24"/>
                <w:lang w:eastAsia="zh-CN"/>
              </w:rPr>
              <w:t>吨化妆品级抗紫外线球形复合功能填料</w:t>
            </w:r>
            <w:r>
              <w:rPr>
                <w:color w:val="auto"/>
                <w:sz w:val="24"/>
              </w:rPr>
              <w:t>的生产规模。</w:t>
            </w:r>
          </w:p>
          <w:bookmarkEnd w:id="3"/>
          <w:p w14:paraId="36962967">
            <w:pPr>
              <w:adjustRightInd w:val="0"/>
              <w:snapToGrid w:val="0"/>
              <w:spacing w:line="500" w:lineRule="exact"/>
              <w:ind w:firstLine="480" w:firstLineChars="200"/>
              <w:rPr>
                <w:color w:val="auto"/>
                <w:sz w:val="24"/>
              </w:rPr>
            </w:pPr>
            <w:r>
              <w:rPr>
                <w:rFonts w:hint="eastAsia"/>
                <w:color w:val="auto"/>
                <w:sz w:val="24"/>
              </w:rPr>
              <w:t>根据《中华人民共和国环境影响评价法》及《建设项目环境保护管理条例》等法律法规文件，</w:t>
            </w:r>
            <w:r>
              <w:rPr>
                <w:rFonts w:hint="eastAsia"/>
                <w:color w:val="auto"/>
                <w:sz w:val="24"/>
                <w:lang w:eastAsia="zh-CN"/>
              </w:rPr>
              <w:t>安徽中江材料科技有限公司</w:t>
            </w:r>
            <w:r>
              <w:rPr>
                <w:rFonts w:hint="eastAsia"/>
                <w:color w:val="auto"/>
                <w:sz w:val="24"/>
              </w:rPr>
              <w:t>委托安徽显闰环境咨询有限公司对该项目进行环境影响评价工作。根据《建设项目环境影响评价分类管理名录》（20</w:t>
            </w:r>
            <w:r>
              <w:rPr>
                <w:color w:val="auto"/>
                <w:sz w:val="24"/>
              </w:rPr>
              <w:t>21年版</w:t>
            </w:r>
            <w:r>
              <w:rPr>
                <w:rFonts w:hint="eastAsia"/>
                <w:color w:val="auto"/>
                <w:sz w:val="24"/>
              </w:rPr>
              <w:t>），本项目为属于“二十七、非金属矿物制品业</w:t>
            </w:r>
            <w:r>
              <w:rPr>
                <w:color w:val="auto"/>
                <w:sz w:val="24"/>
              </w:rPr>
              <w:t>3</w:t>
            </w:r>
            <w:r>
              <w:rPr>
                <w:rFonts w:hint="eastAsia"/>
                <w:color w:val="auto"/>
                <w:sz w:val="24"/>
                <w:lang w:val="en-US" w:eastAsia="zh-CN"/>
              </w:rPr>
              <w:t>0-</w:t>
            </w:r>
            <w:r>
              <w:rPr>
                <w:color w:val="auto"/>
                <w:sz w:val="24"/>
              </w:rPr>
              <w:t>6</w:t>
            </w:r>
            <w:r>
              <w:rPr>
                <w:rFonts w:hint="eastAsia"/>
                <w:color w:val="auto"/>
                <w:sz w:val="24"/>
                <w:lang w:val="en-US" w:eastAsia="zh-CN"/>
              </w:rPr>
              <w:t>0</w:t>
            </w:r>
            <w:r>
              <w:rPr>
                <w:rFonts w:hint="eastAsia"/>
                <w:color w:val="auto"/>
                <w:sz w:val="24"/>
              </w:rPr>
              <w:t>石墨及其他非金属矿物制品制造309</w:t>
            </w:r>
            <w:r>
              <w:rPr>
                <w:rFonts w:hint="eastAsia"/>
                <w:color w:val="auto"/>
                <w:sz w:val="24"/>
                <w:lang w:val="en-US" w:eastAsia="zh-CN"/>
              </w:rPr>
              <w:t>-</w:t>
            </w:r>
            <w:r>
              <w:rPr>
                <w:color w:val="auto"/>
                <w:sz w:val="24"/>
              </w:rPr>
              <w:t>其他</w:t>
            </w:r>
            <w:r>
              <w:rPr>
                <w:rFonts w:hint="eastAsia"/>
                <w:color w:val="auto"/>
                <w:sz w:val="24"/>
              </w:rPr>
              <w:t>”，需编制环境影响报告表。</w:t>
            </w:r>
          </w:p>
          <w:p w14:paraId="3663DD60">
            <w:pPr>
              <w:spacing w:line="500" w:lineRule="atLeast"/>
              <w:ind w:firstLine="480" w:firstLineChars="200"/>
              <w:rPr>
                <w:color w:val="auto"/>
                <w:sz w:val="24"/>
              </w:rPr>
            </w:pPr>
            <w:r>
              <w:rPr>
                <w:rFonts w:hint="eastAsia"/>
                <w:color w:val="auto"/>
                <w:sz w:val="24"/>
              </w:rPr>
              <w:t>接受委托后，本单位即组织有关技术人员进行现场勘察、收集资料。依据</w:t>
            </w:r>
            <w:r>
              <w:rPr>
                <w:color w:val="auto"/>
                <w:sz w:val="24"/>
              </w:rPr>
              <w:t>国家环境保护有关法律、法规文件和环境影响评价技术导则，编制了该项目环境影响报告表，</w:t>
            </w:r>
            <w:r>
              <w:rPr>
                <w:rFonts w:hint="eastAsia"/>
                <w:color w:val="auto"/>
                <w:sz w:val="24"/>
              </w:rPr>
              <w:t>报请生态环境行政主管部门审查、审批，以期为该项目管理提供参考依据</w:t>
            </w:r>
            <w:r>
              <w:rPr>
                <w:color w:val="auto"/>
                <w:sz w:val="24"/>
              </w:rPr>
              <w:t>。</w:t>
            </w:r>
          </w:p>
          <w:p w14:paraId="113619F5">
            <w:pPr>
              <w:spacing w:line="500" w:lineRule="atLeast"/>
              <w:ind w:firstLine="472" w:firstLineChars="196"/>
              <w:rPr>
                <w:b/>
                <w:color w:val="auto"/>
                <w:kern w:val="28"/>
                <w:sz w:val="24"/>
              </w:rPr>
            </w:pPr>
            <w:r>
              <w:rPr>
                <w:rFonts w:hint="eastAsia"/>
                <w:b/>
                <w:color w:val="auto"/>
                <w:kern w:val="28"/>
                <w:sz w:val="24"/>
              </w:rPr>
              <w:t>一</w:t>
            </w:r>
            <w:r>
              <w:rPr>
                <w:b/>
                <w:color w:val="auto"/>
                <w:kern w:val="28"/>
                <w:sz w:val="24"/>
              </w:rPr>
              <w:t>、建设规模及内容</w:t>
            </w:r>
          </w:p>
          <w:p w14:paraId="44A36080">
            <w:pPr>
              <w:adjustRightInd w:val="0"/>
              <w:snapToGrid w:val="0"/>
              <w:spacing w:line="500" w:lineRule="exact"/>
              <w:ind w:firstLine="480" w:firstLineChars="200"/>
              <w:rPr>
                <w:snapToGrid w:val="0"/>
                <w:color w:val="auto"/>
                <w:kern w:val="0"/>
                <w:sz w:val="24"/>
              </w:rPr>
            </w:pPr>
            <w:r>
              <w:rPr>
                <w:snapToGrid w:val="0"/>
                <w:color w:val="auto"/>
                <w:kern w:val="28"/>
                <w:sz w:val="24"/>
                <w:szCs w:val="28"/>
              </w:rPr>
              <w:t>本项目位于</w:t>
            </w:r>
            <w:r>
              <w:rPr>
                <w:snapToGrid w:val="0"/>
                <w:color w:val="auto"/>
                <w:kern w:val="0"/>
                <w:sz w:val="24"/>
              </w:rPr>
              <w:t>安徽省蚌埠市龙子湖区</w:t>
            </w:r>
            <w:r>
              <w:rPr>
                <w:rFonts w:hint="eastAsia"/>
                <w:color w:val="auto"/>
                <w:sz w:val="24"/>
                <w:lang w:eastAsia="zh-CN"/>
              </w:rPr>
              <w:t>高铁工贸园胜利路</w:t>
            </w:r>
            <w:r>
              <w:rPr>
                <w:rFonts w:hint="eastAsia"/>
                <w:color w:val="auto"/>
                <w:sz w:val="24"/>
                <w:lang w:val="en-US" w:eastAsia="zh-CN"/>
              </w:rPr>
              <w:t>9号（安徽瑞龙玻璃机械股份有限公司）</w:t>
            </w:r>
            <w:r>
              <w:rPr>
                <w:snapToGrid w:val="0"/>
                <w:color w:val="auto"/>
                <w:kern w:val="28"/>
                <w:sz w:val="24"/>
                <w:szCs w:val="28"/>
              </w:rPr>
              <w:t>。</w:t>
            </w:r>
            <w:r>
              <w:rPr>
                <w:snapToGrid w:val="0"/>
                <w:color w:val="auto"/>
                <w:kern w:val="0"/>
                <w:sz w:val="24"/>
              </w:rPr>
              <w:t>项目总投资</w:t>
            </w:r>
            <w:r>
              <w:rPr>
                <w:rFonts w:hint="eastAsia"/>
                <w:snapToGrid w:val="0"/>
                <w:color w:val="auto"/>
                <w:kern w:val="0"/>
                <w:sz w:val="24"/>
                <w:lang w:val="en-US" w:eastAsia="zh-CN"/>
              </w:rPr>
              <w:t>3200</w:t>
            </w:r>
            <w:r>
              <w:rPr>
                <w:snapToGrid w:val="0"/>
                <w:color w:val="auto"/>
                <w:kern w:val="0"/>
                <w:sz w:val="24"/>
              </w:rPr>
              <w:t>万元，总建筑面积</w:t>
            </w:r>
            <w:r>
              <w:rPr>
                <w:rFonts w:hint="eastAsia"/>
                <w:snapToGrid w:val="0"/>
                <w:color w:val="auto"/>
                <w:kern w:val="0"/>
                <w:sz w:val="24"/>
                <w:lang w:val="en-US" w:eastAsia="zh-CN"/>
              </w:rPr>
              <w:t>3000</w:t>
            </w:r>
            <w:r>
              <w:rPr>
                <w:snapToGrid w:val="0"/>
                <w:color w:val="auto"/>
                <w:kern w:val="0"/>
                <w:sz w:val="24"/>
              </w:rPr>
              <w:t>m</w:t>
            </w:r>
            <w:r>
              <w:rPr>
                <w:snapToGrid w:val="0"/>
                <w:color w:val="auto"/>
                <w:kern w:val="0"/>
                <w:sz w:val="24"/>
                <w:vertAlign w:val="superscript"/>
              </w:rPr>
              <w:t>2</w:t>
            </w:r>
            <w:r>
              <w:rPr>
                <w:snapToGrid w:val="0"/>
                <w:color w:val="auto"/>
                <w:kern w:val="0"/>
                <w:sz w:val="24"/>
              </w:rPr>
              <w:t>。厂房内设</w:t>
            </w:r>
            <w:r>
              <w:rPr>
                <w:rFonts w:hint="eastAsia"/>
                <w:snapToGrid w:val="0"/>
                <w:color w:val="auto"/>
                <w:kern w:val="0"/>
                <w:sz w:val="24"/>
              </w:rPr>
              <w:t>生产区、办公区、仓储区、成品堆放区等。</w:t>
            </w:r>
          </w:p>
          <w:p w14:paraId="6147469D">
            <w:pPr>
              <w:adjustRightInd w:val="0"/>
              <w:snapToGrid w:val="0"/>
              <w:spacing w:line="500" w:lineRule="exact"/>
              <w:ind w:firstLine="480" w:firstLineChars="200"/>
              <w:rPr>
                <w:snapToGrid w:val="0"/>
                <w:color w:val="auto"/>
                <w:kern w:val="28"/>
                <w:sz w:val="24"/>
                <w:szCs w:val="28"/>
              </w:rPr>
            </w:pPr>
            <w:r>
              <w:rPr>
                <w:snapToGrid w:val="0"/>
                <w:color w:val="auto"/>
                <w:kern w:val="0"/>
                <w:sz w:val="24"/>
              </w:rPr>
              <w:t>主要建设内容见下表：</w:t>
            </w:r>
          </w:p>
          <w:p w14:paraId="048E4852">
            <w:pPr>
              <w:keepNext/>
              <w:spacing w:line="520" w:lineRule="exact"/>
              <w:ind w:left="480"/>
              <w:jc w:val="center"/>
              <w:rPr>
                <w:b/>
                <w:bCs/>
                <w:snapToGrid w:val="0"/>
                <w:color w:val="auto"/>
                <w:kern w:val="0"/>
                <w:sz w:val="24"/>
              </w:rPr>
            </w:pPr>
            <w:r>
              <w:rPr>
                <w:b/>
                <w:bCs/>
                <w:snapToGrid w:val="0"/>
                <w:color w:val="auto"/>
                <w:kern w:val="0"/>
                <w:sz w:val="24"/>
              </w:rPr>
              <w:t xml:space="preserve">表2-1    </w:t>
            </w:r>
            <w:r>
              <w:rPr>
                <w:rFonts w:hint="eastAsia"/>
                <w:b/>
                <w:color w:val="auto"/>
                <w:sz w:val="24"/>
              </w:rPr>
              <w:t>本项目主要建设内容一览表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222"/>
              <w:gridCol w:w="1302"/>
              <w:gridCol w:w="2595"/>
              <w:gridCol w:w="1750"/>
            </w:tblGrid>
            <w:tr w14:paraId="2395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Align w:val="center"/>
                </w:tcPr>
                <w:p w14:paraId="7BF2B033">
                  <w:pPr>
                    <w:jc w:val="center"/>
                    <w:rPr>
                      <w:color w:val="auto"/>
                      <w:szCs w:val="21"/>
                    </w:rPr>
                  </w:pPr>
                  <w:r>
                    <w:rPr>
                      <w:color w:val="auto"/>
                      <w:szCs w:val="21"/>
                    </w:rPr>
                    <w:t>工程名称</w:t>
                  </w:r>
                </w:p>
              </w:tc>
              <w:tc>
                <w:tcPr>
                  <w:tcW w:w="782" w:type="pct"/>
                  <w:vAlign w:val="center"/>
                </w:tcPr>
                <w:p w14:paraId="695DE9E7">
                  <w:pPr>
                    <w:ind w:left="-86" w:leftChars="-41" w:right="-122" w:rightChars="-58"/>
                    <w:jc w:val="center"/>
                    <w:rPr>
                      <w:color w:val="auto"/>
                      <w:szCs w:val="21"/>
                    </w:rPr>
                  </w:pPr>
                  <w:r>
                    <w:rPr>
                      <w:color w:val="auto"/>
                      <w:szCs w:val="21"/>
                    </w:rPr>
                    <w:t>单项工程名称</w:t>
                  </w:r>
                </w:p>
              </w:tc>
              <w:tc>
                <w:tcPr>
                  <w:tcW w:w="2493" w:type="pct"/>
                  <w:gridSpan w:val="2"/>
                  <w:vAlign w:val="center"/>
                </w:tcPr>
                <w:p w14:paraId="1A31AA74">
                  <w:pPr>
                    <w:jc w:val="center"/>
                    <w:rPr>
                      <w:color w:val="auto"/>
                      <w:szCs w:val="21"/>
                    </w:rPr>
                  </w:pPr>
                  <w:r>
                    <w:rPr>
                      <w:color w:val="auto"/>
                      <w:szCs w:val="21"/>
                    </w:rPr>
                    <w:t>工程内容</w:t>
                  </w:r>
                </w:p>
              </w:tc>
              <w:tc>
                <w:tcPr>
                  <w:tcW w:w="1118" w:type="pct"/>
                  <w:vAlign w:val="center"/>
                </w:tcPr>
                <w:p w14:paraId="191AA7DA">
                  <w:pPr>
                    <w:jc w:val="center"/>
                    <w:rPr>
                      <w:rFonts w:hint="eastAsia" w:eastAsia="宋体"/>
                      <w:color w:val="auto"/>
                      <w:szCs w:val="21"/>
                      <w:lang w:eastAsia="zh-CN"/>
                    </w:rPr>
                  </w:pPr>
                  <w:r>
                    <w:rPr>
                      <w:rFonts w:hint="eastAsia"/>
                      <w:color w:val="auto"/>
                      <w:szCs w:val="21"/>
                      <w:lang w:val="en-US" w:eastAsia="zh-CN"/>
                    </w:rPr>
                    <w:t>备注</w:t>
                  </w:r>
                </w:p>
              </w:tc>
            </w:tr>
            <w:tr w14:paraId="7FFB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4" w:type="pct"/>
                  <w:vMerge w:val="restart"/>
                  <w:vAlign w:val="center"/>
                </w:tcPr>
                <w:p w14:paraId="689BB466">
                  <w:pPr>
                    <w:jc w:val="center"/>
                    <w:rPr>
                      <w:color w:val="auto"/>
                      <w:szCs w:val="21"/>
                    </w:rPr>
                  </w:pPr>
                  <w:r>
                    <w:rPr>
                      <w:color w:val="auto"/>
                      <w:szCs w:val="21"/>
                    </w:rPr>
                    <w:t>主体工程</w:t>
                  </w:r>
                </w:p>
              </w:tc>
              <w:tc>
                <w:tcPr>
                  <w:tcW w:w="782" w:type="pct"/>
                  <w:vMerge w:val="restart"/>
                  <w:vAlign w:val="center"/>
                </w:tcPr>
                <w:p w14:paraId="59E438EC">
                  <w:pPr>
                    <w:widowControl/>
                    <w:jc w:val="center"/>
                    <w:rPr>
                      <w:color w:val="auto"/>
                      <w:szCs w:val="21"/>
                    </w:rPr>
                  </w:pPr>
                  <w:r>
                    <w:rPr>
                      <w:rFonts w:hint="eastAsia"/>
                      <w:color w:val="auto"/>
                      <w:szCs w:val="21"/>
                    </w:rPr>
                    <w:t>生产车间</w:t>
                  </w:r>
                </w:p>
              </w:tc>
              <w:tc>
                <w:tcPr>
                  <w:tcW w:w="833" w:type="pct"/>
                  <w:vMerge w:val="restart"/>
                  <w:vAlign w:val="center"/>
                </w:tcPr>
                <w:p w14:paraId="06F60204">
                  <w:pPr>
                    <w:jc w:val="center"/>
                    <w:rPr>
                      <w:color w:val="auto"/>
                      <w:szCs w:val="21"/>
                    </w:rPr>
                  </w:pPr>
                  <w:r>
                    <w:rPr>
                      <w:rFonts w:hint="eastAsia"/>
                      <w:color w:val="auto"/>
                      <w:szCs w:val="21"/>
                      <w:lang w:val="en-US" w:eastAsia="zh-CN"/>
                    </w:rPr>
                    <w:t>位于厂区北侧占地面积约1500m</w:t>
                  </w:r>
                  <w:r>
                    <w:rPr>
                      <w:rFonts w:hint="eastAsia"/>
                      <w:color w:val="auto"/>
                      <w:szCs w:val="21"/>
                      <w:vertAlign w:val="superscript"/>
                      <w:lang w:val="en-US" w:eastAsia="zh-CN"/>
                    </w:rPr>
                    <w:t>2</w:t>
                  </w:r>
                  <w:r>
                    <w:rPr>
                      <w:rFonts w:hint="eastAsia"/>
                      <w:color w:val="auto"/>
                      <w:szCs w:val="21"/>
                      <w:vertAlign w:val="baseline"/>
                      <w:lang w:val="en-US" w:eastAsia="zh-CN"/>
                    </w:rPr>
                    <w:t>，设置四条生产线用于产品生产</w:t>
                  </w:r>
                </w:p>
              </w:tc>
              <w:tc>
                <w:tcPr>
                  <w:tcW w:w="1659" w:type="pct"/>
                  <w:vAlign w:val="center"/>
                </w:tcPr>
                <w:p w14:paraId="3DF3B46F">
                  <w:pPr>
                    <w:jc w:val="center"/>
                    <w:rPr>
                      <w:rFonts w:hint="default" w:eastAsia="宋体"/>
                      <w:color w:val="auto"/>
                      <w:szCs w:val="21"/>
                      <w:vertAlign w:val="baseline"/>
                      <w:lang w:val="en-US" w:eastAsia="zh-CN"/>
                    </w:rPr>
                  </w:pPr>
                  <w:r>
                    <w:rPr>
                      <w:rFonts w:hint="eastAsia"/>
                      <w:color w:val="auto"/>
                      <w:szCs w:val="21"/>
                      <w:lang w:val="en-US" w:eastAsia="zh-CN"/>
                    </w:rPr>
                    <w:t>1号生产线位于车间北侧，建筑面积约200m</w:t>
                  </w:r>
                  <w:r>
                    <w:rPr>
                      <w:rFonts w:hint="eastAsia"/>
                      <w:color w:val="auto"/>
                      <w:szCs w:val="21"/>
                      <w:vertAlign w:val="superscript"/>
                      <w:lang w:val="en-US" w:eastAsia="zh-CN"/>
                    </w:rPr>
                    <w:t>2,</w:t>
                  </w:r>
                  <w:r>
                    <w:rPr>
                      <w:rFonts w:hint="eastAsia"/>
                      <w:color w:val="auto"/>
                      <w:szCs w:val="21"/>
                      <w:vertAlign w:val="baseline"/>
                      <w:lang w:val="en-US" w:eastAsia="zh-CN"/>
                    </w:rPr>
                    <w:t>购置混合机1台，螺带混合机2台，包装机1台</w:t>
                  </w:r>
                  <w:r>
                    <w:rPr>
                      <w:rFonts w:hint="eastAsia"/>
                      <w:color w:val="auto"/>
                      <w:szCs w:val="21"/>
                      <w:highlight w:val="none"/>
                      <w:vertAlign w:val="baseline"/>
                      <w:lang w:val="en-US" w:eastAsia="zh-CN"/>
                    </w:rPr>
                    <w:t>形成一条完整的工艺生产线</w:t>
                  </w:r>
                </w:p>
              </w:tc>
              <w:tc>
                <w:tcPr>
                  <w:tcW w:w="1118" w:type="pct"/>
                  <w:vMerge w:val="restart"/>
                  <w:vAlign w:val="center"/>
                </w:tcPr>
                <w:p w14:paraId="4F32EA45">
                  <w:pPr>
                    <w:jc w:val="center"/>
                    <w:rPr>
                      <w:color w:val="auto"/>
                      <w:szCs w:val="21"/>
                    </w:rPr>
                  </w:pPr>
                  <w:r>
                    <w:rPr>
                      <w:rFonts w:hint="eastAsia"/>
                      <w:color w:val="auto"/>
                      <w:sz w:val="21"/>
                      <w:szCs w:val="21"/>
                      <w:lang w:val="en-US" w:eastAsia="zh-CN"/>
                    </w:rPr>
                    <w:t>依托租赁标准化厂房，合理布设分区，建成后可实现5000t/a化妆品级抗紫外线球形复合功能填料的生产规模</w:t>
                  </w:r>
                </w:p>
              </w:tc>
            </w:tr>
            <w:tr w14:paraId="5571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4" w:type="pct"/>
                  <w:vMerge w:val="continue"/>
                  <w:vAlign w:val="center"/>
                </w:tcPr>
                <w:p w14:paraId="5DD4C365">
                  <w:pPr>
                    <w:jc w:val="center"/>
                    <w:rPr>
                      <w:color w:val="auto"/>
                    </w:rPr>
                  </w:pPr>
                </w:p>
              </w:tc>
              <w:tc>
                <w:tcPr>
                  <w:tcW w:w="782" w:type="pct"/>
                  <w:vMerge w:val="continue"/>
                  <w:vAlign w:val="center"/>
                </w:tcPr>
                <w:p w14:paraId="51C9B857">
                  <w:pPr>
                    <w:jc w:val="center"/>
                    <w:rPr>
                      <w:color w:val="auto"/>
                    </w:rPr>
                  </w:pPr>
                </w:p>
              </w:tc>
              <w:tc>
                <w:tcPr>
                  <w:tcW w:w="833" w:type="pct"/>
                  <w:vMerge w:val="continue"/>
                  <w:vAlign w:val="center"/>
                </w:tcPr>
                <w:p w14:paraId="0E86DD7B">
                  <w:pPr>
                    <w:jc w:val="center"/>
                    <w:rPr>
                      <w:rFonts w:hint="eastAsia"/>
                      <w:color w:val="auto"/>
                      <w:szCs w:val="21"/>
                    </w:rPr>
                  </w:pPr>
                </w:p>
              </w:tc>
              <w:tc>
                <w:tcPr>
                  <w:tcW w:w="1659" w:type="pct"/>
                  <w:vAlign w:val="center"/>
                </w:tcPr>
                <w:p w14:paraId="4919737B">
                  <w:pPr>
                    <w:jc w:val="center"/>
                    <w:rPr>
                      <w:rFonts w:hint="default" w:eastAsia="宋体"/>
                      <w:color w:val="auto"/>
                      <w:szCs w:val="21"/>
                      <w:lang w:val="en-US" w:eastAsia="zh-CN"/>
                    </w:rPr>
                  </w:pPr>
                  <w:r>
                    <w:rPr>
                      <w:rFonts w:hint="eastAsia"/>
                      <w:color w:val="auto"/>
                      <w:szCs w:val="21"/>
                      <w:lang w:val="en-US" w:eastAsia="zh-CN"/>
                    </w:rPr>
                    <w:t>2号生产线位于车间东北侧，建筑面积约200m</w:t>
                  </w:r>
                  <w:r>
                    <w:rPr>
                      <w:rFonts w:hint="eastAsia"/>
                      <w:color w:val="auto"/>
                      <w:szCs w:val="21"/>
                      <w:vertAlign w:val="superscript"/>
                      <w:lang w:val="en-US" w:eastAsia="zh-CN"/>
                    </w:rPr>
                    <w:t>2,</w:t>
                  </w:r>
                  <w:r>
                    <w:rPr>
                      <w:rFonts w:hint="eastAsia"/>
                      <w:color w:val="auto"/>
                      <w:szCs w:val="21"/>
                      <w:vertAlign w:val="baseline"/>
                      <w:lang w:val="en-US" w:eastAsia="zh-CN"/>
                    </w:rPr>
                    <w:t>购置混合机1台，螺带混合机2台，包装机1台</w:t>
                  </w:r>
                  <w:r>
                    <w:rPr>
                      <w:rFonts w:hint="eastAsia"/>
                      <w:color w:val="auto"/>
                      <w:szCs w:val="21"/>
                      <w:highlight w:val="none"/>
                      <w:vertAlign w:val="baseline"/>
                      <w:lang w:val="en-US" w:eastAsia="zh-CN"/>
                    </w:rPr>
                    <w:t>形成一条完整的工艺生产线</w:t>
                  </w:r>
                </w:p>
              </w:tc>
              <w:tc>
                <w:tcPr>
                  <w:tcW w:w="1118" w:type="pct"/>
                  <w:vMerge w:val="continue"/>
                  <w:vAlign w:val="center"/>
                </w:tcPr>
                <w:p w14:paraId="3E30DC04">
                  <w:pPr>
                    <w:jc w:val="center"/>
                    <w:rPr>
                      <w:rFonts w:hint="eastAsia"/>
                      <w:color w:val="auto"/>
                      <w:szCs w:val="21"/>
                    </w:rPr>
                  </w:pPr>
                </w:p>
              </w:tc>
            </w:tr>
            <w:tr w14:paraId="37EB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4" w:type="pct"/>
                  <w:vMerge w:val="continue"/>
                  <w:vAlign w:val="center"/>
                </w:tcPr>
                <w:p w14:paraId="5592B048">
                  <w:pPr>
                    <w:jc w:val="center"/>
                    <w:rPr>
                      <w:rFonts w:hint="eastAsia"/>
                      <w:color w:val="auto"/>
                      <w:szCs w:val="21"/>
                    </w:rPr>
                  </w:pPr>
                </w:p>
              </w:tc>
              <w:tc>
                <w:tcPr>
                  <w:tcW w:w="782" w:type="pct"/>
                  <w:vMerge w:val="continue"/>
                  <w:vAlign w:val="center"/>
                </w:tcPr>
                <w:p w14:paraId="51A0DC97">
                  <w:pPr>
                    <w:jc w:val="center"/>
                    <w:rPr>
                      <w:rFonts w:hint="eastAsia"/>
                      <w:color w:val="auto"/>
                      <w:szCs w:val="21"/>
                    </w:rPr>
                  </w:pPr>
                </w:p>
              </w:tc>
              <w:tc>
                <w:tcPr>
                  <w:tcW w:w="833" w:type="pct"/>
                  <w:vMerge w:val="continue"/>
                  <w:vAlign w:val="center"/>
                </w:tcPr>
                <w:p w14:paraId="6A50ED5E">
                  <w:pPr>
                    <w:jc w:val="center"/>
                    <w:rPr>
                      <w:rFonts w:hint="eastAsia"/>
                      <w:color w:val="auto"/>
                      <w:szCs w:val="21"/>
                    </w:rPr>
                  </w:pPr>
                </w:p>
              </w:tc>
              <w:tc>
                <w:tcPr>
                  <w:tcW w:w="1659" w:type="pct"/>
                  <w:vAlign w:val="center"/>
                </w:tcPr>
                <w:p w14:paraId="66D609B3">
                  <w:pPr>
                    <w:jc w:val="center"/>
                    <w:rPr>
                      <w:rFonts w:hint="default" w:eastAsia="宋体"/>
                      <w:color w:val="auto"/>
                      <w:szCs w:val="21"/>
                      <w:lang w:val="en-US" w:eastAsia="zh-CN"/>
                    </w:rPr>
                  </w:pPr>
                  <w:r>
                    <w:rPr>
                      <w:rFonts w:hint="eastAsia"/>
                      <w:color w:val="auto"/>
                      <w:szCs w:val="21"/>
                      <w:lang w:val="en-US" w:eastAsia="zh-CN"/>
                    </w:rPr>
                    <w:t>3号生产线位于车间西南侧，建筑面积约260m</w:t>
                  </w:r>
                  <w:r>
                    <w:rPr>
                      <w:rFonts w:hint="eastAsia"/>
                      <w:color w:val="auto"/>
                      <w:szCs w:val="21"/>
                      <w:vertAlign w:val="superscript"/>
                      <w:lang w:val="en-US" w:eastAsia="zh-CN"/>
                    </w:rPr>
                    <w:t>2</w:t>
                  </w:r>
                  <w:r>
                    <w:rPr>
                      <w:rFonts w:hint="eastAsia"/>
                      <w:color w:val="auto"/>
                      <w:szCs w:val="21"/>
                      <w:vertAlign w:val="baseline"/>
                      <w:lang w:val="en-US" w:eastAsia="zh-CN"/>
                    </w:rPr>
                    <w:t>购置打散机1台，包</w:t>
                  </w:r>
                  <w:r>
                    <w:rPr>
                      <w:rFonts w:hint="eastAsia"/>
                      <w:color w:val="auto"/>
                      <w:szCs w:val="21"/>
                      <w:highlight w:val="none"/>
                      <w:vertAlign w:val="baseline"/>
                      <w:lang w:val="en-US" w:eastAsia="zh-CN"/>
                    </w:rPr>
                    <w:t>装机1台形成一条完整的工艺生产线</w:t>
                  </w:r>
                </w:p>
              </w:tc>
              <w:tc>
                <w:tcPr>
                  <w:tcW w:w="1118" w:type="pct"/>
                  <w:vMerge w:val="continue"/>
                  <w:vAlign w:val="center"/>
                </w:tcPr>
                <w:p w14:paraId="7C9AFD4A">
                  <w:pPr>
                    <w:jc w:val="center"/>
                    <w:rPr>
                      <w:rFonts w:hint="eastAsia"/>
                      <w:color w:val="auto"/>
                      <w:szCs w:val="21"/>
                    </w:rPr>
                  </w:pPr>
                </w:p>
              </w:tc>
            </w:tr>
            <w:tr w14:paraId="0A2A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04" w:type="pct"/>
                  <w:vMerge w:val="continue"/>
                  <w:vAlign w:val="center"/>
                </w:tcPr>
                <w:p w14:paraId="0ADE3EF6">
                  <w:pPr>
                    <w:jc w:val="center"/>
                    <w:rPr>
                      <w:rFonts w:hint="eastAsia"/>
                      <w:color w:val="auto"/>
                      <w:szCs w:val="21"/>
                    </w:rPr>
                  </w:pPr>
                </w:p>
              </w:tc>
              <w:tc>
                <w:tcPr>
                  <w:tcW w:w="782" w:type="pct"/>
                  <w:vMerge w:val="continue"/>
                  <w:vAlign w:val="center"/>
                </w:tcPr>
                <w:p w14:paraId="5B1174D7">
                  <w:pPr>
                    <w:jc w:val="center"/>
                    <w:rPr>
                      <w:rFonts w:hint="eastAsia"/>
                      <w:color w:val="auto"/>
                      <w:szCs w:val="21"/>
                    </w:rPr>
                  </w:pPr>
                </w:p>
              </w:tc>
              <w:tc>
                <w:tcPr>
                  <w:tcW w:w="833" w:type="pct"/>
                  <w:vMerge w:val="continue"/>
                  <w:vAlign w:val="center"/>
                </w:tcPr>
                <w:p w14:paraId="65471FC4">
                  <w:pPr>
                    <w:jc w:val="center"/>
                    <w:rPr>
                      <w:rFonts w:hint="eastAsia"/>
                      <w:color w:val="auto"/>
                      <w:szCs w:val="21"/>
                    </w:rPr>
                  </w:pPr>
                </w:p>
              </w:tc>
              <w:tc>
                <w:tcPr>
                  <w:tcW w:w="1659" w:type="pct"/>
                  <w:vAlign w:val="center"/>
                </w:tcPr>
                <w:p w14:paraId="2463F704">
                  <w:pPr>
                    <w:jc w:val="center"/>
                    <w:rPr>
                      <w:rFonts w:hint="default" w:eastAsia="宋体"/>
                      <w:color w:val="auto"/>
                      <w:szCs w:val="21"/>
                      <w:lang w:val="en-US" w:eastAsia="zh-CN"/>
                    </w:rPr>
                  </w:pPr>
                  <w:r>
                    <w:rPr>
                      <w:rFonts w:hint="eastAsia"/>
                      <w:color w:val="auto"/>
                      <w:szCs w:val="21"/>
                      <w:lang w:val="en-US" w:eastAsia="zh-CN"/>
                    </w:rPr>
                    <w:t>4号生产线位于车间南侧，建筑面积约150m</w:t>
                  </w:r>
                  <w:r>
                    <w:rPr>
                      <w:rFonts w:hint="eastAsia"/>
                      <w:color w:val="auto"/>
                      <w:szCs w:val="21"/>
                      <w:vertAlign w:val="superscript"/>
                      <w:lang w:val="en-US" w:eastAsia="zh-CN"/>
                    </w:rPr>
                    <w:t>2</w:t>
                  </w:r>
                  <w:r>
                    <w:rPr>
                      <w:rFonts w:hint="eastAsia"/>
                      <w:color w:val="auto"/>
                      <w:szCs w:val="21"/>
                      <w:vertAlign w:val="baseline"/>
                      <w:lang w:val="en-US" w:eastAsia="zh-CN"/>
                    </w:rPr>
                    <w:t>购置混合机1台，等离子机一台，包装机一台，</w:t>
                  </w:r>
                  <w:r>
                    <w:rPr>
                      <w:rFonts w:hint="eastAsia"/>
                      <w:color w:val="auto"/>
                      <w:szCs w:val="21"/>
                      <w:highlight w:val="none"/>
                      <w:vertAlign w:val="baseline"/>
                      <w:lang w:val="en-US" w:eastAsia="zh-CN"/>
                    </w:rPr>
                    <w:t>形成一条完整的工艺生产线</w:t>
                  </w:r>
                </w:p>
              </w:tc>
              <w:tc>
                <w:tcPr>
                  <w:tcW w:w="1118" w:type="pct"/>
                  <w:vMerge w:val="continue"/>
                  <w:vAlign w:val="center"/>
                </w:tcPr>
                <w:p w14:paraId="5F34DBC1">
                  <w:pPr>
                    <w:jc w:val="center"/>
                    <w:rPr>
                      <w:rFonts w:hint="eastAsia"/>
                      <w:color w:val="auto"/>
                      <w:szCs w:val="21"/>
                    </w:rPr>
                  </w:pPr>
                </w:p>
              </w:tc>
            </w:tr>
            <w:tr w14:paraId="0FF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restart"/>
                  <w:vAlign w:val="center"/>
                </w:tcPr>
                <w:p w14:paraId="379E2DAB">
                  <w:pPr>
                    <w:jc w:val="center"/>
                    <w:rPr>
                      <w:color w:val="auto"/>
                      <w:szCs w:val="21"/>
                    </w:rPr>
                  </w:pPr>
                  <w:r>
                    <w:rPr>
                      <w:color w:val="auto"/>
                      <w:szCs w:val="21"/>
                    </w:rPr>
                    <w:t>储运工程</w:t>
                  </w:r>
                </w:p>
              </w:tc>
              <w:tc>
                <w:tcPr>
                  <w:tcW w:w="782" w:type="pct"/>
                  <w:vMerge w:val="restart"/>
                  <w:vAlign w:val="center"/>
                </w:tcPr>
                <w:p w14:paraId="5AEC1A8B">
                  <w:pPr>
                    <w:widowControl/>
                    <w:jc w:val="center"/>
                    <w:rPr>
                      <w:rFonts w:hint="eastAsia" w:eastAsia="宋体"/>
                      <w:color w:val="auto"/>
                      <w:szCs w:val="21"/>
                      <w:lang w:eastAsia="zh-CN"/>
                    </w:rPr>
                  </w:pPr>
                  <w:r>
                    <w:rPr>
                      <w:rFonts w:hint="eastAsia"/>
                      <w:color w:val="auto"/>
                      <w:szCs w:val="21"/>
                      <w:lang w:val="en-US" w:eastAsia="zh-CN"/>
                    </w:rPr>
                    <w:t>仓库</w:t>
                  </w:r>
                </w:p>
              </w:tc>
              <w:tc>
                <w:tcPr>
                  <w:tcW w:w="833" w:type="pct"/>
                  <w:vMerge w:val="restart"/>
                  <w:vAlign w:val="center"/>
                </w:tcPr>
                <w:p w14:paraId="57F2C892">
                  <w:pPr>
                    <w:jc w:val="center"/>
                    <w:rPr>
                      <w:color w:val="auto"/>
                      <w:szCs w:val="21"/>
                    </w:rPr>
                  </w:pPr>
                  <w:r>
                    <w:rPr>
                      <w:rFonts w:hint="eastAsia"/>
                      <w:color w:val="auto"/>
                      <w:szCs w:val="21"/>
                      <w:lang w:val="en-US" w:eastAsia="zh-CN"/>
                    </w:rPr>
                    <w:t>位于厂区南侧，占地面积约为1500m</w:t>
                  </w:r>
                  <w:r>
                    <w:rPr>
                      <w:rFonts w:hint="eastAsia"/>
                      <w:color w:val="auto"/>
                      <w:szCs w:val="21"/>
                      <w:vertAlign w:val="superscript"/>
                      <w:lang w:val="en-US" w:eastAsia="zh-CN"/>
                    </w:rPr>
                    <w:t>2</w:t>
                  </w:r>
                  <w:r>
                    <w:rPr>
                      <w:rFonts w:hint="eastAsia"/>
                      <w:color w:val="auto"/>
                      <w:szCs w:val="21"/>
                      <w:vertAlign w:val="baseline"/>
                      <w:lang w:val="en-US" w:eastAsia="zh-CN"/>
                    </w:rPr>
                    <w:t>分为原辅料存储区和成品存储区</w:t>
                  </w:r>
                </w:p>
              </w:tc>
              <w:tc>
                <w:tcPr>
                  <w:tcW w:w="1659" w:type="pct"/>
                  <w:vAlign w:val="center"/>
                </w:tcPr>
                <w:p w14:paraId="0C28AF3D">
                  <w:pPr>
                    <w:jc w:val="center"/>
                    <w:rPr>
                      <w:rFonts w:hint="default" w:eastAsia="宋体"/>
                      <w:color w:val="auto"/>
                      <w:szCs w:val="21"/>
                      <w:lang w:val="en-US" w:eastAsia="zh-CN"/>
                    </w:rPr>
                  </w:pPr>
                  <w:r>
                    <w:rPr>
                      <w:rFonts w:hint="eastAsia"/>
                      <w:color w:val="auto"/>
                      <w:szCs w:val="21"/>
                      <w:lang w:val="en-US" w:eastAsia="zh-CN"/>
                    </w:rPr>
                    <w:t>成品存储区：位于仓库北侧，建筑面积约750m</w:t>
                  </w:r>
                  <w:r>
                    <w:rPr>
                      <w:rFonts w:hint="eastAsia"/>
                      <w:color w:val="auto"/>
                      <w:szCs w:val="21"/>
                      <w:vertAlign w:val="superscript"/>
                      <w:lang w:val="en-US" w:eastAsia="zh-CN"/>
                    </w:rPr>
                    <w:t>2</w:t>
                  </w:r>
                  <w:r>
                    <w:rPr>
                      <w:rFonts w:hint="eastAsia"/>
                      <w:color w:val="auto"/>
                      <w:szCs w:val="21"/>
                      <w:vertAlign w:val="baseline"/>
                      <w:lang w:val="en-US" w:eastAsia="zh-CN"/>
                    </w:rPr>
                    <w:t>用于存放成品</w:t>
                  </w:r>
                </w:p>
              </w:tc>
              <w:tc>
                <w:tcPr>
                  <w:tcW w:w="1118" w:type="pct"/>
                  <w:vMerge w:val="restart"/>
                  <w:vAlign w:val="center"/>
                </w:tcPr>
                <w:p w14:paraId="119EA2F9">
                  <w:pPr>
                    <w:jc w:val="center"/>
                    <w:rPr>
                      <w:rFonts w:hint="default" w:eastAsia="宋体"/>
                      <w:color w:val="auto"/>
                      <w:szCs w:val="21"/>
                      <w:lang w:val="en-US" w:eastAsia="zh-CN"/>
                    </w:rPr>
                  </w:pPr>
                  <w:r>
                    <w:rPr>
                      <w:rFonts w:hint="eastAsia"/>
                      <w:color w:val="auto"/>
                      <w:szCs w:val="21"/>
                      <w:lang w:val="en-US" w:eastAsia="zh-CN"/>
                    </w:rPr>
                    <w:t>依托租赁标准化厂房，合理布设分区，方便运输</w:t>
                  </w:r>
                </w:p>
              </w:tc>
            </w:tr>
            <w:tr w14:paraId="0F81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3A457B28">
                  <w:pPr>
                    <w:jc w:val="center"/>
                    <w:rPr>
                      <w:color w:val="auto"/>
                      <w:szCs w:val="21"/>
                    </w:rPr>
                  </w:pPr>
                </w:p>
              </w:tc>
              <w:tc>
                <w:tcPr>
                  <w:tcW w:w="782" w:type="pct"/>
                  <w:vMerge w:val="continue"/>
                  <w:vAlign w:val="center"/>
                </w:tcPr>
                <w:p w14:paraId="5205ED5B">
                  <w:pPr>
                    <w:widowControl/>
                    <w:jc w:val="center"/>
                    <w:rPr>
                      <w:color w:val="auto"/>
                      <w:szCs w:val="21"/>
                    </w:rPr>
                  </w:pPr>
                </w:p>
              </w:tc>
              <w:tc>
                <w:tcPr>
                  <w:tcW w:w="833" w:type="pct"/>
                  <w:vMerge w:val="continue"/>
                  <w:vAlign w:val="center"/>
                </w:tcPr>
                <w:p w14:paraId="064CB008">
                  <w:pPr>
                    <w:jc w:val="center"/>
                    <w:rPr>
                      <w:color w:val="auto"/>
                      <w:szCs w:val="21"/>
                    </w:rPr>
                  </w:pPr>
                </w:p>
              </w:tc>
              <w:tc>
                <w:tcPr>
                  <w:tcW w:w="1659" w:type="pct"/>
                  <w:vAlign w:val="center"/>
                </w:tcPr>
                <w:p w14:paraId="0FCA471F">
                  <w:pPr>
                    <w:jc w:val="center"/>
                    <w:rPr>
                      <w:rFonts w:hint="default" w:eastAsia="宋体"/>
                      <w:color w:val="auto"/>
                      <w:szCs w:val="21"/>
                      <w:lang w:val="en-US" w:eastAsia="zh-CN"/>
                    </w:rPr>
                  </w:pPr>
                  <w:r>
                    <w:rPr>
                      <w:rFonts w:hint="eastAsia"/>
                      <w:color w:val="auto"/>
                      <w:szCs w:val="21"/>
                      <w:lang w:val="en-US" w:eastAsia="zh-CN"/>
                    </w:rPr>
                    <w:t>原辅料存储区：位于仓库南侧，建筑面积约730m</w:t>
                  </w:r>
                  <w:r>
                    <w:rPr>
                      <w:rFonts w:hint="eastAsia"/>
                      <w:color w:val="auto"/>
                      <w:szCs w:val="21"/>
                      <w:vertAlign w:val="superscript"/>
                      <w:lang w:val="en-US" w:eastAsia="zh-CN"/>
                    </w:rPr>
                    <w:t>2</w:t>
                  </w:r>
                  <w:r>
                    <w:rPr>
                      <w:rFonts w:hint="eastAsia"/>
                      <w:color w:val="auto"/>
                      <w:szCs w:val="21"/>
                      <w:vertAlign w:val="baseline"/>
                      <w:lang w:val="en-US" w:eastAsia="zh-CN"/>
                    </w:rPr>
                    <w:t>用于存放原辅材料</w:t>
                  </w:r>
                </w:p>
              </w:tc>
              <w:tc>
                <w:tcPr>
                  <w:tcW w:w="1118" w:type="pct"/>
                  <w:vMerge w:val="continue"/>
                  <w:vAlign w:val="center"/>
                </w:tcPr>
                <w:p w14:paraId="15BE9A42">
                  <w:pPr>
                    <w:jc w:val="center"/>
                    <w:rPr>
                      <w:color w:val="auto"/>
                      <w:szCs w:val="21"/>
                    </w:rPr>
                  </w:pPr>
                </w:p>
              </w:tc>
            </w:tr>
            <w:tr w14:paraId="0B1A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restart"/>
                  <w:vAlign w:val="center"/>
                </w:tcPr>
                <w:p w14:paraId="2203F4FE">
                  <w:pPr>
                    <w:jc w:val="center"/>
                    <w:rPr>
                      <w:color w:val="auto"/>
                      <w:szCs w:val="21"/>
                    </w:rPr>
                  </w:pPr>
                  <w:r>
                    <w:rPr>
                      <w:snapToGrid w:val="0"/>
                      <w:color w:val="auto"/>
                      <w:kern w:val="0"/>
                      <w:szCs w:val="21"/>
                    </w:rPr>
                    <w:t>辅助工程</w:t>
                  </w:r>
                </w:p>
              </w:tc>
              <w:tc>
                <w:tcPr>
                  <w:tcW w:w="782" w:type="pct"/>
                  <w:vAlign w:val="center"/>
                </w:tcPr>
                <w:p w14:paraId="2D329DC6">
                  <w:pPr>
                    <w:widowControl/>
                    <w:jc w:val="center"/>
                    <w:rPr>
                      <w:rFonts w:ascii="宋体" w:hAnsi="宋体" w:cs="宋体"/>
                      <w:color w:val="auto"/>
                      <w:kern w:val="0"/>
                      <w:szCs w:val="21"/>
                    </w:rPr>
                  </w:pPr>
                  <w:r>
                    <w:rPr>
                      <w:rFonts w:hint="eastAsia"/>
                      <w:color w:val="auto"/>
                      <w:szCs w:val="21"/>
                    </w:rPr>
                    <w:t>办公区</w:t>
                  </w:r>
                </w:p>
              </w:tc>
              <w:tc>
                <w:tcPr>
                  <w:tcW w:w="3612" w:type="pct"/>
                  <w:gridSpan w:val="3"/>
                  <w:vAlign w:val="center"/>
                </w:tcPr>
                <w:p w14:paraId="715AABEE">
                  <w:pPr>
                    <w:jc w:val="center"/>
                    <w:rPr>
                      <w:color w:val="auto"/>
                      <w:szCs w:val="21"/>
                    </w:rPr>
                  </w:pPr>
                  <w:r>
                    <w:rPr>
                      <w:rFonts w:hint="eastAsia"/>
                      <w:color w:val="auto"/>
                      <w:szCs w:val="21"/>
                    </w:rPr>
                    <w:t>位于车间</w:t>
                  </w:r>
                  <w:r>
                    <w:rPr>
                      <w:rFonts w:hint="eastAsia"/>
                      <w:color w:val="auto"/>
                      <w:szCs w:val="21"/>
                      <w:lang w:val="en-US" w:eastAsia="zh-CN"/>
                    </w:rPr>
                    <w:t>西北侧</w:t>
                  </w:r>
                  <w:r>
                    <w:rPr>
                      <w:rFonts w:hint="eastAsia"/>
                      <w:color w:val="auto"/>
                      <w:szCs w:val="21"/>
                    </w:rPr>
                    <w:t>，面积约为1</w:t>
                  </w:r>
                  <w:r>
                    <w:rPr>
                      <w:color w:val="auto"/>
                      <w:szCs w:val="21"/>
                    </w:rPr>
                    <w:t>50 m</w:t>
                  </w:r>
                  <w:r>
                    <w:rPr>
                      <w:color w:val="auto"/>
                      <w:szCs w:val="21"/>
                      <w:vertAlign w:val="superscript"/>
                    </w:rPr>
                    <w:t>2</w:t>
                  </w:r>
                </w:p>
              </w:tc>
            </w:tr>
            <w:tr w14:paraId="37F7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restart"/>
                  <w:vAlign w:val="center"/>
                </w:tcPr>
                <w:p w14:paraId="0D5658F2">
                  <w:pPr>
                    <w:jc w:val="center"/>
                    <w:rPr>
                      <w:color w:val="auto"/>
                      <w:szCs w:val="21"/>
                    </w:rPr>
                  </w:pPr>
                  <w:bookmarkStart w:id="4" w:name="_Hlk101367421"/>
                  <w:r>
                    <w:rPr>
                      <w:color w:val="auto"/>
                      <w:szCs w:val="21"/>
                    </w:rPr>
                    <w:t>公用</w:t>
                  </w:r>
                </w:p>
                <w:p w14:paraId="1B88BC7F">
                  <w:pPr>
                    <w:jc w:val="center"/>
                    <w:rPr>
                      <w:color w:val="auto"/>
                      <w:szCs w:val="21"/>
                    </w:rPr>
                  </w:pPr>
                  <w:r>
                    <w:rPr>
                      <w:color w:val="auto"/>
                      <w:szCs w:val="21"/>
                    </w:rPr>
                    <w:t>工程</w:t>
                  </w:r>
                </w:p>
              </w:tc>
              <w:tc>
                <w:tcPr>
                  <w:tcW w:w="782" w:type="pct"/>
                  <w:vAlign w:val="center"/>
                </w:tcPr>
                <w:p w14:paraId="0E3F971A">
                  <w:pPr>
                    <w:autoSpaceDE w:val="0"/>
                    <w:autoSpaceDN w:val="0"/>
                    <w:ind w:left="8" w:leftChars="1" w:right="11" w:rightChars="0" w:hanging="6" w:hangingChars="3"/>
                    <w:jc w:val="center"/>
                    <w:rPr>
                      <w:color w:val="auto"/>
                      <w:szCs w:val="21"/>
                    </w:rPr>
                  </w:pPr>
                  <w:r>
                    <w:rPr>
                      <w:color w:val="auto"/>
                      <w:kern w:val="0"/>
                      <w:sz w:val="21"/>
                      <w:szCs w:val="21"/>
                    </w:rPr>
                    <w:t>供水</w:t>
                  </w:r>
                </w:p>
              </w:tc>
              <w:tc>
                <w:tcPr>
                  <w:tcW w:w="3612" w:type="pct"/>
                  <w:gridSpan w:val="3"/>
                  <w:vAlign w:val="center"/>
                </w:tcPr>
                <w:p w14:paraId="65AFEBC0">
                  <w:pPr>
                    <w:autoSpaceDE w:val="0"/>
                    <w:autoSpaceDN w:val="0"/>
                    <w:ind w:left="2" w:leftChars="1" w:right="11" w:rightChars="0"/>
                    <w:jc w:val="center"/>
                    <w:rPr>
                      <w:snapToGrid w:val="0"/>
                      <w:color w:val="auto"/>
                      <w:kern w:val="0"/>
                      <w:szCs w:val="21"/>
                    </w:rPr>
                  </w:pPr>
                  <w:r>
                    <w:rPr>
                      <w:color w:val="auto"/>
                      <w:sz w:val="21"/>
                      <w:szCs w:val="21"/>
                    </w:rPr>
                    <w:t>由市政供水管网接入，供厂区内生产、生活用水，本项目用水量</w:t>
                  </w:r>
                  <w:r>
                    <w:rPr>
                      <w:rFonts w:hint="eastAsia"/>
                      <w:color w:val="auto"/>
                      <w:sz w:val="21"/>
                      <w:szCs w:val="21"/>
                      <w:lang w:val="en-US" w:eastAsia="zh-CN"/>
                    </w:rPr>
                    <w:t>300t</w:t>
                  </w:r>
                  <w:r>
                    <w:rPr>
                      <w:color w:val="auto"/>
                      <w:sz w:val="21"/>
                      <w:szCs w:val="21"/>
                    </w:rPr>
                    <w:t>/a</w:t>
                  </w:r>
                </w:p>
              </w:tc>
            </w:tr>
            <w:tr w14:paraId="2E1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5FFD632D">
                  <w:pPr>
                    <w:jc w:val="center"/>
                    <w:rPr>
                      <w:color w:val="auto"/>
                      <w:szCs w:val="21"/>
                    </w:rPr>
                  </w:pPr>
                </w:p>
              </w:tc>
              <w:tc>
                <w:tcPr>
                  <w:tcW w:w="782" w:type="pct"/>
                  <w:vAlign w:val="center"/>
                </w:tcPr>
                <w:p w14:paraId="247A5DA1">
                  <w:pPr>
                    <w:autoSpaceDE w:val="0"/>
                    <w:autoSpaceDN w:val="0"/>
                    <w:ind w:left="8" w:leftChars="1" w:right="11" w:rightChars="0" w:hanging="6" w:hangingChars="3"/>
                    <w:jc w:val="center"/>
                    <w:rPr>
                      <w:color w:val="auto"/>
                      <w:szCs w:val="21"/>
                    </w:rPr>
                  </w:pPr>
                  <w:r>
                    <w:rPr>
                      <w:color w:val="auto"/>
                      <w:kern w:val="0"/>
                      <w:sz w:val="21"/>
                      <w:szCs w:val="21"/>
                    </w:rPr>
                    <w:t>排水</w:t>
                  </w:r>
                </w:p>
              </w:tc>
              <w:tc>
                <w:tcPr>
                  <w:tcW w:w="3612" w:type="pct"/>
                  <w:gridSpan w:val="3"/>
                  <w:vAlign w:val="center"/>
                </w:tcPr>
                <w:p w14:paraId="0E05D9D1">
                  <w:pPr>
                    <w:autoSpaceDE w:val="0"/>
                    <w:autoSpaceDN w:val="0"/>
                    <w:ind w:left="8" w:leftChars="1" w:right="11" w:rightChars="0" w:hanging="6" w:hangingChars="3"/>
                    <w:jc w:val="center"/>
                    <w:rPr>
                      <w:snapToGrid w:val="0"/>
                      <w:color w:val="auto"/>
                      <w:kern w:val="0"/>
                      <w:szCs w:val="21"/>
                    </w:rPr>
                  </w:pPr>
                  <w:r>
                    <w:rPr>
                      <w:color w:val="auto"/>
                      <w:sz w:val="21"/>
                      <w:szCs w:val="21"/>
                    </w:rPr>
                    <w:t>雨污分流排水制，雨水接雨水管网，生活污水</w:t>
                  </w:r>
                  <w:r>
                    <w:rPr>
                      <w:rFonts w:hint="eastAsia"/>
                      <w:color w:val="auto"/>
                      <w:sz w:val="21"/>
                      <w:szCs w:val="21"/>
                    </w:rPr>
                    <w:t>进</w:t>
                  </w:r>
                  <w:r>
                    <w:rPr>
                      <w:color w:val="auto"/>
                      <w:sz w:val="21"/>
                      <w:szCs w:val="21"/>
                    </w:rPr>
                    <w:t>化粪池</w:t>
                  </w:r>
                  <w:r>
                    <w:rPr>
                      <w:rFonts w:hint="eastAsia"/>
                      <w:color w:val="auto"/>
                      <w:sz w:val="21"/>
                      <w:szCs w:val="21"/>
                    </w:rPr>
                    <w:t>处理后，一起</w:t>
                  </w:r>
                  <w:r>
                    <w:rPr>
                      <w:color w:val="auto"/>
                      <w:sz w:val="21"/>
                      <w:szCs w:val="21"/>
                    </w:rPr>
                    <w:t>接入</w:t>
                  </w:r>
                  <w:r>
                    <w:rPr>
                      <w:rFonts w:hint="eastAsia"/>
                      <w:color w:val="auto"/>
                      <w:sz w:val="21"/>
                      <w:szCs w:val="21"/>
                      <w:lang w:eastAsia="zh-CN"/>
                    </w:rPr>
                    <w:t>蚌埠市第</w:t>
                  </w:r>
                  <w:r>
                    <w:rPr>
                      <w:rFonts w:hint="eastAsia"/>
                      <w:color w:val="auto"/>
                      <w:sz w:val="21"/>
                      <w:szCs w:val="21"/>
                      <w:lang w:val="en-US" w:eastAsia="zh-CN"/>
                    </w:rPr>
                    <w:t>二</w:t>
                  </w:r>
                  <w:r>
                    <w:rPr>
                      <w:rFonts w:hint="eastAsia"/>
                      <w:color w:val="auto"/>
                      <w:sz w:val="21"/>
                      <w:szCs w:val="21"/>
                      <w:lang w:eastAsia="zh-CN"/>
                    </w:rPr>
                    <w:t>污水处理厂</w:t>
                  </w:r>
                  <w:r>
                    <w:rPr>
                      <w:color w:val="auto"/>
                      <w:sz w:val="21"/>
                      <w:szCs w:val="21"/>
                    </w:rPr>
                    <w:t>集中处理</w:t>
                  </w:r>
                  <w:r>
                    <w:rPr>
                      <w:color w:val="auto"/>
                      <w:kern w:val="0"/>
                      <w:sz w:val="21"/>
                      <w:szCs w:val="21"/>
                    </w:rPr>
                    <w:t>。</w:t>
                  </w:r>
                </w:p>
              </w:tc>
            </w:tr>
            <w:tr w14:paraId="6E24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0969FAA6">
                  <w:pPr>
                    <w:jc w:val="center"/>
                    <w:rPr>
                      <w:color w:val="auto"/>
                      <w:szCs w:val="21"/>
                    </w:rPr>
                  </w:pPr>
                </w:p>
              </w:tc>
              <w:tc>
                <w:tcPr>
                  <w:tcW w:w="782" w:type="pct"/>
                  <w:vAlign w:val="center"/>
                </w:tcPr>
                <w:p w14:paraId="0930870B">
                  <w:pPr>
                    <w:autoSpaceDE w:val="0"/>
                    <w:autoSpaceDN w:val="0"/>
                    <w:ind w:left="8" w:leftChars="1" w:right="11" w:rightChars="0" w:hanging="6" w:hangingChars="3"/>
                    <w:jc w:val="center"/>
                    <w:rPr>
                      <w:color w:val="auto"/>
                      <w:szCs w:val="21"/>
                    </w:rPr>
                  </w:pPr>
                  <w:r>
                    <w:rPr>
                      <w:rFonts w:hint="eastAsia"/>
                      <w:color w:val="auto"/>
                      <w:kern w:val="0"/>
                      <w:sz w:val="21"/>
                      <w:szCs w:val="21"/>
                      <w:lang w:val="en-US" w:eastAsia="zh-CN"/>
                    </w:rPr>
                    <w:t>供电</w:t>
                  </w:r>
                </w:p>
              </w:tc>
              <w:tc>
                <w:tcPr>
                  <w:tcW w:w="3612" w:type="pct"/>
                  <w:gridSpan w:val="3"/>
                  <w:vAlign w:val="center"/>
                </w:tcPr>
                <w:p w14:paraId="6FB54BF2">
                  <w:pPr>
                    <w:autoSpaceDE w:val="0"/>
                    <w:autoSpaceDN w:val="0"/>
                    <w:ind w:left="8" w:leftChars="1" w:right="11" w:rightChars="0" w:hanging="6" w:hangingChars="3"/>
                    <w:jc w:val="center"/>
                    <w:rPr>
                      <w:color w:val="auto"/>
                      <w:szCs w:val="21"/>
                    </w:rPr>
                  </w:pPr>
                  <w:r>
                    <w:rPr>
                      <w:rFonts w:hint="eastAsia"/>
                      <w:color w:val="auto"/>
                      <w:sz w:val="21"/>
                      <w:szCs w:val="21"/>
                    </w:rPr>
                    <w:t>用电来自市政电网</w:t>
                  </w:r>
                  <w:r>
                    <w:rPr>
                      <w:color w:val="auto"/>
                      <w:sz w:val="21"/>
                      <w:szCs w:val="21"/>
                    </w:rPr>
                    <w:t>，总用电量</w:t>
                  </w:r>
                  <w:r>
                    <w:rPr>
                      <w:rFonts w:hint="eastAsia"/>
                      <w:color w:val="auto"/>
                      <w:sz w:val="21"/>
                      <w:szCs w:val="21"/>
                      <w:lang w:val="en-US" w:eastAsia="zh-CN"/>
                    </w:rPr>
                    <w:t>10</w:t>
                  </w:r>
                  <w:r>
                    <w:rPr>
                      <w:color w:val="auto"/>
                      <w:sz w:val="21"/>
                      <w:szCs w:val="21"/>
                    </w:rPr>
                    <w:t>万kWh</w:t>
                  </w:r>
                  <w:r>
                    <w:rPr>
                      <w:rFonts w:hint="eastAsia"/>
                      <w:color w:val="auto"/>
                      <w:sz w:val="21"/>
                      <w:szCs w:val="21"/>
                    </w:rPr>
                    <w:t>/a</w:t>
                  </w:r>
                </w:p>
              </w:tc>
            </w:tr>
            <w:tr w14:paraId="4273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restart"/>
                  <w:vAlign w:val="center"/>
                </w:tcPr>
                <w:p w14:paraId="509F9FA3">
                  <w:pPr>
                    <w:jc w:val="center"/>
                    <w:rPr>
                      <w:color w:val="auto"/>
                      <w:szCs w:val="21"/>
                    </w:rPr>
                  </w:pPr>
                  <w:r>
                    <w:rPr>
                      <w:color w:val="auto"/>
                      <w:szCs w:val="21"/>
                    </w:rPr>
                    <w:t>环保工程</w:t>
                  </w:r>
                </w:p>
              </w:tc>
              <w:tc>
                <w:tcPr>
                  <w:tcW w:w="782" w:type="pct"/>
                  <w:vAlign w:val="center"/>
                </w:tcPr>
                <w:p w14:paraId="38A5E242">
                  <w:pPr>
                    <w:jc w:val="center"/>
                    <w:rPr>
                      <w:color w:val="auto"/>
                      <w:szCs w:val="21"/>
                    </w:rPr>
                  </w:pPr>
                  <w:r>
                    <w:rPr>
                      <w:color w:val="auto"/>
                      <w:szCs w:val="21"/>
                    </w:rPr>
                    <w:t>废气处理</w:t>
                  </w:r>
                </w:p>
              </w:tc>
              <w:tc>
                <w:tcPr>
                  <w:tcW w:w="3612" w:type="pct"/>
                  <w:gridSpan w:val="3"/>
                  <w:vAlign w:val="center"/>
                </w:tcPr>
                <w:p w14:paraId="7106CBCD">
                  <w:pPr>
                    <w:jc w:val="center"/>
                    <w:rPr>
                      <w:color w:val="auto"/>
                      <w:szCs w:val="21"/>
                    </w:rPr>
                  </w:pPr>
                  <w:r>
                    <w:rPr>
                      <w:rFonts w:hint="eastAsia"/>
                      <w:color w:val="auto"/>
                      <w:szCs w:val="21"/>
                      <w:lang w:val="en-US" w:eastAsia="zh-CN"/>
                    </w:rPr>
                    <w:t>投料、包装粉尘经集气罩收集经布袋除尘器处理后经15m高排气筒</w:t>
                  </w:r>
                  <w:r>
                    <w:rPr>
                      <w:rFonts w:hint="eastAsia"/>
                      <w:lang w:val="en-US" w:eastAsia="zh-CN"/>
                    </w:rPr>
                    <w:t>DA001</w:t>
                  </w:r>
                  <w:r>
                    <w:rPr>
                      <w:rFonts w:hint="eastAsia"/>
                      <w:color w:val="auto"/>
                      <w:szCs w:val="21"/>
                      <w:lang w:val="en-US" w:eastAsia="zh-CN"/>
                    </w:rPr>
                    <w:t>排放</w:t>
                  </w:r>
                </w:p>
              </w:tc>
            </w:tr>
            <w:tr w14:paraId="5560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76793E88">
                  <w:pPr>
                    <w:jc w:val="center"/>
                    <w:rPr>
                      <w:color w:val="auto"/>
                      <w:szCs w:val="21"/>
                    </w:rPr>
                  </w:pPr>
                </w:p>
              </w:tc>
              <w:tc>
                <w:tcPr>
                  <w:tcW w:w="782" w:type="pct"/>
                  <w:vAlign w:val="center"/>
                </w:tcPr>
                <w:p w14:paraId="5E7C9046">
                  <w:pPr>
                    <w:jc w:val="center"/>
                    <w:rPr>
                      <w:color w:val="auto"/>
                      <w:szCs w:val="21"/>
                    </w:rPr>
                  </w:pPr>
                  <w:r>
                    <w:rPr>
                      <w:color w:val="auto"/>
                      <w:szCs w:val="21"/>
                    </w:rPr>
                    <w:t>废水处理</w:t>
                  </w:r>
                </w:p>
              </w:tc>
              <w:tc>
                <w:tcPr>
                  <w:tcW w:w="3612" w:type="pct"/>
                  <w:gridSpan w:val="3"/>
                  <w:vAlign w:val="center"/>
                </w:tcPr>
                <w:p w14:paraId="2D281AAE">
                  <w:pPr>
                    <w:tabs>
                      <w:tab w:val="left" w:pos="3255"/>
                    </w:tabs>
                    <w:snapToGrid w:val="0"/>
                    <w:ind w:left="-105" w:leftChars="-50" w:right="-105" w:rightChars="-50"/>
                    <w:jc w:val="center"/>
                    <w:rPr>
                      <w:rFonts w:hint="eastAsia" w:ascii="Times New Roman" w:hAnsi="Times New Roman" w:eastAsia="宋体" w:cs="Times New Roman"/>
                      <w:color w:val="auto"/>
                      <w:kern w:val="2"/>
                      <w:sz w:val="21"/>
                      <w:szCs w:val="24"/>
                      <w:lang w:val="en-US" w:eastAsia="zh-CN" w:bidi="ar-SA"/>
                    </w:rPr>
                  </w:pPr>
                  <w:r>
                    <w:rPr>
                      <w:rFonts w:hint="eastAsia"/>
                      <w:color w:val="auto"/>
                    </w:rPr>
                    <w:t>本项目生产过程中无废水产生，主要污水为生活污水</w:t>
                  </w:r>
                  <w:r>
                    <w:rPr>
                      <w:rFonts w:hint="eastAsia"/>
                      <w:color w:val="auto"/>
                      <w:lang w:eastAsia="zh-CN"/>
                    </w:rPr>
                    <w:t>。</w:t>
                  </w:r>
                  <w:r>
                    <w:rPr>
                      <w:rFonts w:hint="eastAsia"/>
                      <w:color w:val="auto"/>
                      <w:lang w:val="en-US" w:eastAsia="zh-CN"/>
                    </w:rPr>
                    <w:t>厂</w:t>
                  </w:r>
                  <w:r>
                    <w:rPr>
                      <w:rFonts w:hint="eastAsia"/>
                      <w:color w:val="auto"/>
                      <w:sz w:val="21"/>
                      <w:szCs w:val="21"/>
                      <w:lang w:val="en-US" w:eastAsia="zh-CN"/>
                    </w:rPr>
                    <w:t>区实行雨</w:t>
                  </w:r>
                  <w:r>
                    <w:rPr>
                      <w:color w:val="auto"/>
                      <w:sz w:val="21"/>
                      <w:szCs w:val="21"/>
                    </w:rPr>
                    <w:t>污分流排水制，雨水接雨水管网，生活污水</w:t>
                  </w:r>
                  <w:r>
                    <w:rPr>
                      <w:rFonts w:hint="eastAsia"/>
                      <w:color w:val="auto"/>
                      <w:sz w:val="21"/>
                      <w:szCs w:val="21"/>
                    </w:rPr>
                    <w:t>进</w:t>
                  </w:r>
                  <w:r>
                    <w:rPr>
                      <w:color w:val="auto"/>
                      <w:sz w:val="21"/>
                      <w:szCs w:val="21"/>
                    </w:rPr>
                    <w:t>化粪池</w:t>
                  </w:r>
                  <w:r>
                    <w:rPr>
                      <w:rFonts w:hint="eastAsia"/>
                      <w:color w:val="auto"/>
                      <w:sz w:val="21"/>
                      <w:szCs w:val="21"/>
                    </w:rPr>
                    <w:t>处理后，</w:t>
                  </w:r>
                  <w:r>
                    <w:rPr>
                      <w:rFonts w:hint="eastAsia"/>
                      <w:color w:val="auto"/>
                      <w:sz w:val="21"/>
                      <w:szCs w:val="21"/>
                      <w:lang w:val="en-US" w:eastAsia="zh-CN"/>
                    </w:rPr>
                    <w:t>进</w:t>
                  </w:r>
                  <w:r>
                    <w:rPr>
                      <w:color w:val="auto"/>
                      <w:sz w:val="21"/>
                      <w:szCs w:val="21"/>
                    </w:rPr>
                    <w:t>入</w:t>
                  </w:r>
                  <w:r>
                    <w:rPr>
                      <w:rFonts w:hint="eastAsia"/>
                      <w:color w:val="auto"/>
                      <w:sz w:val="21"/>
                      <w:szCs w:val="21"/>
                      <w:lang w:eastAsia="zh-CN"/>
                    </w:rPr>
                    <w:t>蚌埠市第</w:t>
                  </w:r>
                  <w:r>
                    <w:rPr>
                      <w:rFonts w:hint="eastAsia"/>
                      <w:color w:val="auto"/>
                      <w:sz w:val="21"/>
                      <w:szCs w:val="21"/>
                      <w:lang w:val="en-US" w:eastAsia="zh-CN"/>
                    </w:rPr>
                    <w:t>二</w:t>
                  </w:r>
                  <w:r>
                    <w:rPr>
                      <w:rFonts w:hint="eastAsia"/>
                      <w:color w:val="auto"/>
                      <w:sz w:val="21"/>
                      <w:szCs w:val="21"/>
                      <w:lang w:eastAsia="zh-CN"/>
                    </w:rPr>
                    <w:t>污水处理厂</w:t>
                  </w:r>
                  <w:r>
                    <w:rPr>
                      <w:color w:val="auto"/>
                      <w:sz w:val="21"/>
                      <w:szCs w:val="21"/>
                    </w:rPr>
                    <w:t>集中处理</w:t>
                  </w:r>
                  <w:r>
                    <w:rPr>
                      <w:color w:val="auto"/>
                      <w:kern w:val="0"/>
                      <w:sz w:val="21"/>
                      <w:szCs w:val="21"/>
                    </w:rPr>
                    <w:t>。</w:t>
                  </w:r>
                </w:p>
              </w:tc>
            </w:tr>
            <w:bookmarkEnd w:id="4"/>
            <w:tr w14:paraId="66B7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60F095F0">
                  <w:pPr>
                    <w:jc w:val="center"/>
                    <w:rPr>
                      <w:color w:val="auto"/>
                      <w:szCs w:val="21"/>
                    </w:rPr>
                  </w:pPr>
                </w:p>
              </w:tc>
              <w:tc>
                <w:tcPr>
                  <w:tcW w:w="782" w:type="pct"/>
                  <w:vAlign w:val="center"/>
                </w:tcPr>
                <w:p w14:paraId="676A0C90">
                  <w:pPr>
                    <w:jc w:val="center"/>
                    <w:rPr>
                      <w:color w:val="auto"/>
                      <w:szCs w:val="21"/>
                    </w:rPr>
                  </w:pPr>
                  <w:r>
                    <w:rPr>
                      <w:color w:val="auto"/>
                      <w:szCs w:val="21"/>
                    </w:rPr>
                    <w:t>噪声防治</w:t>
                  </w:r>
                </w:p>
              </w:tc>
              <w:tc>
                <w:tcPr>
                  <w:tcW w:w="3612" w:type="pct"/>
                  <w:gridSpan w:val="3"/>
                  <w:vAlign w:val="center"/>
                </w:tcPr>
                <w:p w14:paraId="7BB84525">
                  <w:pPr>
                    <w:jc w:val="center"/>
                    <w:rPr>
                      <w:color w:val="auto"/>
                      <w:szCs w:val="21"/>
                    </w:rPr>
                  </w:pPr>
                  <w:r>
                    <w:rPr>
                      <w:color w:val="auto"/>
                      <w:szCs w:val="21"/>
                    </w:rPr>
                    <w:t>选用低噪声设备，</w:t>
                  </w:r>
                  <w:r>
                    <w:rPr>
                      <w:rFonts w:hint="eastAsia"/>
                      <w:color w:val="auto"/>
                      <w:szCs w:val="21"/>
                    </w:rPr>
                    <w:t>并采取相应的防噪、降噪、减振措施</w:t>
                  </w:r>
                </w:p>
              </w:tc>
            </w:tr>
            <w:tr w14:paraId="3EA6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1ACC3C30">
                  <w:pPr>
                    <w:jc w:val="center"/>
                    <w:rPr>
                      <w:color w:val="auto"/>
                      <w:szCs w:val="21"/>
                    </w:rPr>
                  </w:pPr>
                </w:p>
              </w:tc>
              <w:tc>
                <w:tcPr>
                  <w:tcW w:w="782" w:type="pct"/>
                  <w:vMerge w:val="restart"/>
                  <w:vAlign w:val="center"/>
                </w:tcPr>
                <w:p w14:paraId="6006C621">
                  <w:pPr>
                    <w:jc w:val="center"/>
                    <w:rPr>
                      <w:color w:val="auto"/>
                      <w:szCs w:val="21"/>
                      <w:highlight w:val="yellow"/>
                    </w:rPr>
                  </w:pPr>
                  <w:r>
                    <w:rPr>
                      <w:color w:val="auto"/>
                      <w:szCs w:val="21"/>
                    </w:rPr>
                    <w:t>固体废物</w:t>
                  </w:r>
                </w:p>
              </w:tc>
              <w:tc>
                <w:tcPr>
                  <w:tcW w:w="3612" w:type="pct"/>
                  <w:gridSpan w:val="3"/>
                  <w:vAlign w:val="center"/>
                </w:tcPr>
                <w:p w14:paraId="539FCA85">
                  <w:pPr>
                    <w:jc w:val="center"/>
                    <w:rPr>
                      <w:color w:val="auto"/>
                      <w:szCs w:val="21"/>
                    </w:rPr>
                  </w:pPr>
                  <w:r>
                    <w:rPr>
                      <w:rFonts w:hint="eastAsia"/>
                      <w:color w:val="auto"/>
                      <w:szCs w:val="21"/>
                    </w:rPr>
                    <w:t>一般固废暂存间，</w:t>
                  </w:r>
                  <w:r>
                    <w:rPr>
                      <w:rFonts w:hint="eastAsia"/>
                      <w:color w:val="auto"/>
                      <w:szCs w:val="21"/>
                      <w:lang w:val="en-US" w:eastAsia="zh-CN"/>
                    </w:rPr>
                    <w:t>位于车间东侧，</w:t>
                  </w:r>
                  <w:r>
                    <w:rPr>
                      <w:rFonts w:hint="eastAsia"/>
                      <w:color w:val="auto"/>
                      <w:szCs w:val="21"/>
                    </w:rPr>
                    <w:t>面积约</w:t>
                  </w:r>
                  <w:r>
                    <w:rPr>
                      <w:color w:val="auto"/>
                      <w:szCs w:val="21"/>
                    </w:rPr>
                    <w:t>20m</w:t>
                  </w:r>
                  <w:r>
                    <w:rPr>
                      <w:color w:val="auto"/>
                      <w:szCs w:val="21"/>
                      <w:vertAlign w:val="superscript"/>
                    </w:rPr>
                    <w:t>2</w:t>
                  </w:r>
                </w:p>
              </w:tc>
            </w:tr>
            <w:tr w14:paraId="782B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04" w:type="pct"/>
                  <w:vMerge w:val="continue"/>
                  <w:vAlign w:val="center"/>
                </w:tcPr>
                <w:p w14:paraId="161BBA46">
                  <w:pPr>
                    <w:jc w:val="center"/>
                    <w:rPr>
                      <w:color w:val="auto"/>
                      <w:szCs w:val="21"/>
                    </w:rPr>
                  </w:pPr>
                </w:p>
              </w:tc>
              <w:tc>
                <w:tcPr>
                  <w:tcW w:w="782" w:type="pct"/>
                  <w:vMerge w:val="continue"/>
                  <w:vAlign w:val="center"/>
                </w:tcPr>
                <w:p w14:paraId="67D00F98">
                  <w:pPr>
                    <w:jc w:val="center"/>
                    <w:rPr>
                      <w:color w:val="auto"/>
                      <w:szCs w:val="21"/>
                      <w:highlight w:val="yellow"/>
                    </w:rPr>
                  </w:pPr>
                </w:p>
              </w:tc>
              <w:tc>
                <w:tcPr>
                  <w:tcW w:w="3612" w:type="pct"/>
                  <w:gridSpan w:val="3"/>
                  <w:vAlign w:val="center"/>
                </w:tcPr>
                <w:p w14:paraId="6B7B64BF">
                  <w:pPr>
                    <w:jc w:val="center"/>
                    <w:rPr>
                      <w:color w:val="auto"/>
                      <w:szCs w:val="21"/>
                      <w:highlight w:val="yellow"/>
                    </w:rPr>
                  </w:pPr>
                  <w:r>
                    <w:rPr>
                      <w:color w:val="auto"/>
                      <w:szCs w:val="21"/>
                    </w:rPr>
                    <w:t>危废</w:t>
                  </w:r>
                  <w:r>
                    <w:rPr>
                      <w:rFonts w:hint="eastAsia"/>
                      <w:color w:val="auto"/>
                      <w:szCs w:val="21"/>
                      <w:lang w:val="en-US" w:eastAsia="zh-CN"/>
                    </w:rPr>
                    <w:t>间位于仓库西侧</w:t>
                  </w:r>
                  <w:r>
                    <w:rPr>
                      <w:color w:val="auto"/>
                      <w:szCs w:val="21"/>
                    </w:rPr>
                    <w:t>面积约</w:t>
                  </w:r>
                  <w:r>
                    <w:rPr>
                      <w:rFonts w:hint="eastAsia"/>
                      <w:color w:val="auto"/>
                      <w:szCs w:val="21"/>
                      <w:lang w:val="en-US" w:eastAsia="zh-CN"/>
                    </w:rPr>
                    <w:t>10</w:t>
                  </w:r>
                  <w:r>
                    <w:rPr>
                      <w:color w:val="auto"/>
                      <w:szCs w:val="21"/>
                    </w:rPr>
                    <w:t xml:space="preserve"> m</w:t>
                  </w:r>
                  <w:r>
                    <w:rPr>
                      <w:color w:val="auto"/>
                      <w:szCs w:val="21"/>
                      <w:vertAlign w:val="superscript"/>
                    </w:rPr>
                    <w:t>2</w:t>
                  </w:r>
                </w:p>
              </w:tc>
            </w:tr>
          </w:tbl>
          <w:p w14:paraId="253BA91F">
            <w:pPr>
              <w:spacing w:line="440" w:lineRule="exact"/>
              <w:ind w:firstLine="472" w:firstLineChars="196"/>
              <w:rPr>
                <w:b/>
                <w:color w:val="auto"/>
                <w:kern w:val="28"/>
                <w:sz w:val="24"/>
              </w:rPr>
            </w:pPr>
            <w:r>
              <w:rPr>
                <w:rFonts w:hint="eastAsia"/>
                <w:b/>
                <w:color w:val="auto"/>
                <w:kern w:val="28"/>
                <w:sz w:val="24"/>
              </w:rPr>
              <w:t>二</w:t>
            </w:r>
            <w:r>
              <w:rPr>
                <w:b/>
                <w:color w:val="auto"/>
                <w:kern w:val="28"/>
                <w:sz w:val="24"/>
              </w:rPr>
              <w:t>、工作天数和劳动定员</w:t>
            </w:r>
          </w:p>
          <w:p w14:paraId="2EDF7EE8">
            <w:pPr>
              <w:spacing w:line="520" w:lineRule="exact"/>
              <w:ind w:firstLine="480" w:firstLineChars="200"/>
              <w:rPr>
                <w:snapToGrid w:val="0"/>
                <w:color w:val="auto"/>
                <w:kern w:val="0"/>
                <w:sz w:val="24"/>
              </w:rPr>
            </w:pPr>
            <w:r>
              <w:rPr>
                <w:rFonts w:hint="eastAsia" w:ascii="宋体" w:hAnsi="宋体" w:cs="宋体"/>
                <w:snapToGrid w:val="0"/>
                <w:color w:val="auto"/>
                <w:kern w:val="0"/>
                <w:sz w:val="24"/>
              </w:rPr>
              <w:t>①</w:t>
            </w:r>
            <w:r>
              <w:rPr>
                <w:snapToGrid w:val="0"/>
                <w:color w:val="auto"/>
                <w:kern w:val="0"/>
                <w:sz w:val="24"/>
              </w:rPr>
              <w:t>工作天数：全年工作日</w:t>
            </w:r>
            <w:r>
              <w:rPr>
                <w:rFonts w:hint="eastAsia"/>
                <w:snapToGrid w:val="0"/>
                <w:color w:val="auto"/>
                <w:kern w:val="0"/>
                <w:sz w:val="24"/>
                <w:lang w:val="en-US" w:eastAsia="zh-CN"/>
              </w:rPr>
              <w:t>300</w:t>
            </w:r>
            <w:r>
              <w:rPr>
                <w:snapToGrid w:val="0"/>
                <w:color w:val="auto"/>
                <w:kern w:val="0"/>
                <w:sz w:val="24"/>
              </w:rPr>
              <w:t>天，</w:t>
            </w:r>
            <w:r>
              <w:rPr>
                <w:rFonts w:hint="eastAsia"/>
                <w:snapToGrid w:val="0"/>
                <w:color w:val="auto"/>
                <w:kern w:val="0"/>
                <w:sz w:val="24"/>
                <w:lang w:val="en-US" w:eastAsia="zh-CN"/>
              </w:rPr>
              <w:t>2</w:t>
            </w:r>
            <w:r>
              <w:rPr>
                <w:snapToGrid w:val="0"/>
                <w:color w:val="auto"/>
                <w:kern w:val="0"/>
                <w:sz w:val="24"/>
              </w:rPr>
              <w:t>班制</w:t>
            </w:r>
            <w:r>
              <w:rPr>
                <w:rFonts w:hint="eastAsia"/>
                <w:snapToGrid w:val="0"/>
                <w:color w:val="auto"/>
                <w:kern w:val="0"/>
                <w:sz w:val="24"/>
              </w:rPr>
              <w:t>，</w:t>
            </w:r>
            <w:r>
              <w:rPr>
                <w:snapToGrid w:val="0"/>
                <w:color w:val="auto"/>
                <w:kern w:val="0"/>
                <w:sz w:val="24"/>
              </w:rPr>
              <w:t>每班工作8小时。</w:t>
            </w:r>
          </w:p>
          <w:p w14:paraId="15CDF7B5">
            <w:pPr>
              <w:spacing w:line="520" w:lineRule="exact"/>
              <w:ind w:firstLine="480" w:firstLineChars="200"/>
              <w:rPr>
                <w:snapToGrid w:val="0"/>
                <w:color w:val="auto"/>
                <w:kern w:val="0"/>
                <w:sz w:val="24"/>
              </w:rPr>
            </w:pPr>
            <w:r>
              <w:rPr>
                <w:rFonts w:hint="eastAsia" w:ascii="宋体" w:hAnsi="宋体" w:cs="宋体"/>
                <w:snapToGrid w:val="0"/>
                <w:color w:val="auto"/>
                <w:kern w:val="0"/>
                <w:sz w:val="24"/>
              </w:rPr>
              <w:t>②</w:t>
            </w:r>
            <w:r>
              <w:rPr>
                <w:snapToGrid w:val="0"/>
                <w:color w:val="auto"/>
                <w:kern w:val="0"/>
                <w:sz w:val="24"/>
              </w:rPr>
              <w:t>劳动定员：共计</w:t>
            </w:r>
            <w:r>
              <w:rPr>
                <w:rFonts w:hint="eastAsia"/>
                <w:snapToGrid w:val="0"/>
                <w:color w:val="auto"/>
                <w:kern w:val="0"/>
                <w:sz w:val="24"/>
                <w:lang w:val="en-US" w:eastAsia="zh-CN"/>
              </w:rPr>
              <w:t>10</w:t>
            </w:r>
            <w:r>
              <w:rPr>
                <w:snapToGrid w:val="0"/>
                <w:color w:val="auto"/>
                <w:kern w:val="0"/>
                <w:sz w:val="24"/>
              </w:rPr>
              <w:t>人。</w:t>
            </w:r>
          </w:p>
          <w:p w14:paraId="0DF58915">
            <w:pPr>
              <w:spacing w:line="440" w:lineRule="exact"/>
              <w:ind w:firstLine="472" w:firstLineChars="196"/>
              <w:rPr>
                <w:b/>
                <w:color w:val="auto"/>
                <w:kern w:val="28"/>
                <w:sz w:val="24"/>
              </w:rPr>
            </w:pPr>
            <w:r>
              <w:rPr>
                <w:rFonts w:hint="eastAsia"/>
                <w:b/>
                <w:color w:val="auto"/>
                <w:kern w:val="28"/>
                <w:sz w:val="24"/>
              </w:rPr>
              <w:t>三</w:t>
            </w:r>
            <w:r>
              <w:rPr>
                <w:b/>
                <w:color w:val="auto"/>
                <w:kern w:val="28"/>
                <w:sz w:val="24"/>
              </w:rPr>
              <w:t>、主要生产设备</w:t>
            </w:r>
            <w:r>
              <w:rPr>
                <w:rFonts w:hint="eastAsia"/>
                <w:b/>
                <w:color w:val="auto"/>
                <w:kern w:val="28"/>
                <w:sz w:val="24"/>
              </w:rPr>
              <w:t xml:space="preserve"> </w:t>
            </w:r>
          </w:p>
          <w:p w14:paraId="37C13021">
            <w:pPr>
              <w:spacing w:line="520" w:lineRule="exact"/>
              <w:ind w:firstLine="480" w:firstLineChars="200"/>
              <w:rPr>
                <w:color w:val="auto"/>
                <w:sz w:val="24"/>
              </w:rPr>
            </w:pPr>
            <w:r>
              <w:rPr>
                <w:color w:val="auto"/>
                <w:sz w:val="24"/>
              </w:rPr>
              <w:t>项目主要生产设备见下表：</w:t>
            </w:r>
          </w:p>
          <w:p w14:paraId="68252EAF">
            <w:pPr>
              <w:keepNext/>
              <w:spacing w:after="31" w:afterLines="10" w:line="560" w:lineRule="exact"/>
              <w:jc w:val="center"/>
              <w:rPr>
                <w:b/>
                <w:bCs/>
                <w:color w:val="auto"/>
                <w:sz w:val="24"/>
              </w:rPr>
            </w:pPr>
            <w:r>
              <w:rPr>
                <w:b/>
                <w:color w:val="auto"/>
                <w:sz w:val="24"/>
              </w:rPr>
              <w:t xml:space="preserve">表2-2  </w:t>
            </w:r>
            <w:r>
              <w:rPr>
                <w:rFonts w:hint="eastAsia"/>
                <w:b/>
                <w:bCs/>
                <w:color w:val="auto"/>
                <w:sz w:val="24"/>
              </w:rPr>
              <w:t>主要</w:t>
            </w:r>
            <w:r>
              <w:rPr>
                <w:rFonts w:hint="eastAsia"/>
                <w:b/>
                <w:bCs/>
                <w:color w:val="auto"/>
                <w:sz w:val="24"/>
                <w:lang w:eastAsia="zh-CN"/>
              </w:rPr>
              <w:t>生产</w:t>
            </w:r>
            <w:r>
              <w:rPr>
                <w:rFonts w:hint="eastAsia"/>
                <w:b/>
                <w:bCs/>
                <w:color w:val="auto"/>
                <w:sz w:val="24"/>
              </w:rPr>
              <w:t>设备一览表</w:t>
            </w:r>
          </w:p>
          <w:tbl>
            <w:tblPr>
              <w:tblStyle w:val="26"/>
              <w:tblW w:w="5000" w:type="pct"/>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15"/>
              <w:gridCol w:w="636"/>
              <w:gridCol w:w="636"/>
              <w:gridCol w:w="2790"/>
            </w:tblGrid>
            <w:tr w14:paraId="3CA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25A91690">
                  <w:pPr>
                    <w:jc w:val="center"/>
                    <w:rPr>
                      <w:color w:val="auto"/>
                      <w:szCs w:val="21"/>
                    </w:rPr>
                  </w:pPr>
                  <w:r>
                    <w:rPr>
                      <w:color w:val="auto"/>
                      <w:szCs w:val="21"/>
                    </w:rPr>
                    <w:t>序号</w:t>
                  </w:r>
                </w:p>
              </w:tc>
              <w:tc>
                <w:tcPr>
                  <w:tcW w:w="1998" w:type="pct"/>
                  <w:shd w:val="clear" w:color="auto" w:fill="auto"/>
                  <w:noWrap/>
                  <w:vAlign w:val="center"/>
                </w:tcPr>
                <w:p w14:paraId="45DE7A83">
                  <w:pPr>
                    <w:jc w:val="center"/>
                    <w:rPr>
                      <w:color w:val="auto"/>
                      <w:szCs w:val="21"/>
                    </w:rPr>
                  </w:pPr>
                  <w:r>
                    <w:rPr>
                      <w:color w:val="auto"/>
                      <w:szCs w:val="21"/>
                    </w:rPr>
                    <w:t>设备名称</w:t>
                  </w:r>
                </w:p>
              </w:tc>
              <w:tc>
                <w:tcPr>
                  <w:tcW w:w="403" w:type="pct"/>
                  <w:shd w:val="clear" w:color="auto" w:fill="auto"/>
                  <w:noWrap/>
                  <w:vAlign w:val="center"/>
                </w:tcPr>
                <w:p w14:paraId="1AFD927E">
                  <w:pPr>
                    <w:jc w:val="center"/>
                    <w:rPr>
                      <w:color w:val="auto"/>
                      <w:szCs w:val="21"/>
                    </w:rPr>
                  </w:pPr>
                  <w:r>
                    <w:rPr>
                      <w:color w:val="auto"/>
                      <w:szCs w:val="21"/>
                    </w:rPr>
                    <w:t>数量</w:t>
                  </w:r>
                </w:p>
              </w:tc>
              <w:tc>
                <w:tcPr>
                  <w:tcW w:w="403" w:type="pct"/>
                  <w:shd w:val="clear" w:color="auto" w:fill="auto"/>
                  <w:noWrap/>
                  <w:vAlign w:val="center"/>
                </w:tcPr>
                <w:p w14:paraId="2ADA1F24">
                  <w:pPr>
                    <w:jc w:val="center"/>
                    <w:rPr>
                      <w:color w:val="auto"/>
                      <w:szCs w:val="21"/>
                    </w:rPr>
                  </w:pPr>
                  <w:r>
                    <w:rPr>
                      <w:color w:val="auto"/>
                      <w:szCs w:val="21"/>
                    </w:rPr>
                    <w:t>单位</w:t>
                  </w:r>
                </w:p>
              </w:tc>
              <w:tc>
                <w:tcPr>
                  <w:tcW w:w="1789" w:type="pct"/>
                  <w:vAlign w:val="center"/>
                </w:tcPr>
                <w:p w14:paraId="4F538C7D">
                  <w:pPr>
                    <w:jc w:val="center"/>
                    <w:rPr>
                      <w:color w:val="auto"/>
                      <w:szCs w:val="21"/>
                    </w:rPr>
                  </w:pPr>
                  <w:r>
                    <w:rPr>
                      <w:rFonts w:hint="eastAsia"/>
                      <w:color w:val="auto"/>
                    </w:rPr>
                    <w:t>规格/型号</w:t>
                  </w:r>
                </w:p>
              </w:tc>
            </w:tr>
            <w:tr w14:paraId="6E18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63A67E68">
                  <w:pPr>
                    <w:jc w:val="center"/>
                    <w:rPr>
                      <w:color w:val="auto"/>
                      <w:szCs w:val="21"/>
                    </w:rPr>
                  </w:pPr>
                  <w:r>
                    <w:rPr>
                      <w:color w:val="auto"/>
                      <w:szCs w:val="21"/>
                    </w:rPr>
                    <w:t>1</w:t>
                  </w:r>
                </w:p>
              </w:tc>
              <w:tc>
                <w:tcPr>
                  <w:tcW w:w="1998" w:type="pct"/>
                  <w:shd w:val="clear" w:color="auto" w:fill="auto"/>
                  <w:noWrap/>
                  <w:vAlign w:val="center"/>
                </w:tcPr>
                <w:p w14:paraId="7AAAE411">
                  <w:pPr>
                    <w:jc w:val="center"/>
                    <w:rPr>
                      <w:rFonts w:hint="eastAsia" w:eastAsia="宋体"/>
                      <w:color w:val="auto"/>
                      <w:szCs w:val="21"/>
                      <w:lang w:eastAsia="zh-CN"/>
                    </w:rPr>
                  </w:pPr>
                  <w:r>
                    <w:rPr>
                      <w:rFonts w:hint="eastAsia"/>
                      <w:color w:val="auto"/>
                      <w:szCs w:val="21"/>
                      <w:lang w:val="en-US" w:eastAsia="zh-CN"/>
                    </w:rPr>
                    <w:t>混合机</w:t>
                  </w:r>
                </w:p>
              </w:tc>
              <w:tc>
                <w:tcPr>
                  <w:tcW w:w="403" w:type="pct"/>
                  <w:shd w:val="clear" w:color="auto" w:fill="auto"/>
                  <w:noWrap/>
                  <w:vAlign w:val="center"/>
                </w:tcPr>
                <w:p w14:paraId="05A1EE92">
                  <w:pPr>
                    <w:jc w:val="center"/>
                    <w:rPr>
                      <w:rFonts w:hint="eastAsia" w:eastAsia="宋体"/>
                      <w:color w:val="auto"/>
                      <w:szCs w:val="21"/>
                      <w:lang w:eastAsia="zh-CN"/>
                    </w:rPr>
                  </w:pPr>
                  <w:r>
                    <w:rPr>
                      <w:rFonts w:hint="eastAsia"/>
                      <w:color w:val="auto"/>
                      <w:szCs w:val="21"/>
                      <w:lang w:val="en-US" w:eastAsia="zh-CN"/>
                    </w:rPr>
                    <w:t>3</w:t>
                  </w:r>
                </w:p>
              </w:tc>
              <w:tc>
                <w:tcPr>
                  <w:tcW w:w="403" w:type="pct"/>
                  <w:shd w:val="clear" w:color="auto" w:fill="auto"/>
                  <w:noWrap/>
                  <w:vAlign w:val="center"/>
                </w:tcPr>
                <w:p w14:paraId="7DA87C15">
                  <w:pPr>
                    <w:jc w:val="center"/>
                    <w:rPr>
                      <w:color w:val="auto"/>
                      <w:szCs w:val="21"/>
                    </w:rPr>
                  </w:pPr>
                  <w:r>
                    <w:rPr>
                      <w:rFonts w:hint="eastAsia"/>
                      <w:color w:val="auto"/>
                      <w:szCs w:val="21"/>
                    </w:rPr>
                    <w:t>台</w:t>
                  </w:r>
                </w:p>
              </w:tc>
              <w:tc>
                <w:tcPr>
                  <w:tcW w:w="1789" w:type="pct"/>
                  <w:vAlign w:val="center"/>
                </w:tcPr>
                <w:p w14:paraId="4C0089A6">
                  <w:pPr>
                    <w:jc w:val="center"/>
                    <w:rPr>
                      <w:rFonts w:hint="default" w:eastAsia="宋体"/>
                      <w:color w:val="auto"/>
                      <w:szCs w:val="21"/>
                      <w:lang w:val="en-US" w:eastAsia="zh-CN"/>
                    </w:rPr>
                  </w:pPr>
                  <w:r>
                    <w:rPr>
                      <w:rFonts w:hint="eastAsia"/>
                      <w:color w:val="auto"/>
                      <w:szCs w:val="21"/>
                      <w:lang w:val="en-US" w:eastAsia="zh-CN"/>
                    </w:rPr>
                    <w:t>H-800L</w:t>
                  </w:r>
                </w:p>
              </w:tc>
            </w:tr>
            <w:tr w14:paraId="4654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6808548C">
                  <w:pPr>
                    <w:adjustRightInd w:val="0"/>
                    <w:jc w:val="center"/>
                    <w:rPr>
                      <w:color w:val="auto"/>
                      <w:szCs w:val="21"/>
                    </w:rPr>
                  </w:pPr>
                  <w:r>
                    <w:rPr>
                      <w:rFonts w:hint="eastAsia"/>
                      <w:color w:val="auto"/>
                      <w:szCs w:val="21"/>
                    </w:rPr>
                    <w:t>2</w:t>
                  </w:r>
                </w:p>
              </w:tc>
              <w:tc>
                <w:tcPr>
                  <w:tcW w:w="1998" w:type="pct"/>
                  <w:shd w:val="clear" w:color="auto" w:fill="auto"/>
                  <w:noWrap/>
                  <w:vAlign w:val="center"/>
                </w:tcPr>
                <w:p w14:paraId="146BAC4F">
                  <w:pPr>
                    <w:adjustRightInd w:val="0"/>
                    <w:jc w:val="center"/>
                    <w:rPr>
                      <w:rFonts w:hint="default" w:eastAsia="宋体"/>
                      <w:color w:val="auto"/>
                      <w:szCs w:val="21"/>
                      <w:lang w:val="en-US" w:eastAsia="zh-CN"/>
                    </w:rPr>
                  </w:pPr>
                  <w:r>
                    <w:rPr>
                      <w:rFonts w:hint="eastAsia"/>
                      <w:color w:val="auto"/>
                      <w:szCs w:val="21"/>
                      <w:lang w:val="en-US" w:eastAsia="zh-CN"/>
                    </w:rPr>
                    <w:t>等离子机</w:t>
                  </w:r>
                </w:p>
              </w:tc>
              <w:tc>
                <w:tcPr>
                  <w:tcW w:w="403" w:type="pct"/>
                  <w:shd w:val="clear" w:color="auto" w:fill="auto"/>
                  <w:noWrap/>
                  <w:vAlign w:val="center"/>
                </w:tcPr>
                <w:p w14:paraId="37789FD8">
                  <w:pPr>
                    <w:widowControl/>
                    <w:jc w:val="center"/>
                    <w:rPr>
                      <w:rFonts w:hint="eastAsia" w:eastAsia="华文中宋"/>
                      <w:color w:val="auto"/>
                      <w:szCs w:val="21"/>
                      <w:lang w:eastAsia="zh-CN"/>
                    </w:rPr>
                  </w:pPr>
                  <w:r>
                    <w:rPr>
                      <w:rFonts w:hint="eastAsia" w:eastAsia="华文中宋"/>
                      <w:color w:val="auto"/>
                      <w:szCs w:val="21"/>
                      <w:lang w:val="en-US" w:eastAsia="zh-CN"/>
                    </w:rPr>
                    <w:t>1</w:t>
                  </w:r>
                </w:p>
              </w:tc>
              <w:tc>
                <w:tcPr>
                  <w:tcW w:w="403" w:type="pct"/>
                  <w:shd w:val="clear" w:color="auto" w:fill="auto"/>
                  <w:noWrap/>
                  <w:vAlign w:val="center"/>
                </w:tcPr>
                <w:p w14:paraId="1CEED44D">
                  <w:pPr>
                    <w:jc w:val="center"/>
                    <w:rPr>
                      <w:color w:val="auto"/>
                      <w:szCs w:val="21"/>
                    </w:rPr>
                  </w:pPr>
                  <w:r>
                    <w:rPr>
                      <w:rFonts w:hint="eastAsia"/>
                      <w:color w:val="auto"/>
                      <w:szCs w:val="21"/>
                    </w:rPr>
                    <w:t>台</w:t>
                  </w:r>
                </w:p>
              </w:tc>
              <w:tc>
                <w:tcPr>
                  <w:tcW w:w="1789" w:type="pct"/>
                  <w:vAlign w:val="center"/>
                </w:tcPr>
                <w:p w14:paraId="5E62F00C">
                  <w:pPr>
                    <w:jc w:val="center"/>
                    <w:rPr>
                      <w:rFonts w:hint="default" w:eastAsia="宋体"/>
                      <w:color w:val="auto"/>
                      <w:szCs w:val="21"/>
                      <w:lang w:val="en-US" w:eastAsia="zh-CN"/>
                    </w:rPr>
                  </w:pPr>
                  <w:r>
                    <w:rPr>
                      <w:rFonts w:hint="eastAsia"/>
                      <w:color w:val="auto"/>
                      <w:szCs w:val="21"/>
                      <w:lang w:val="en-US" w:eastAsia="zh-CN"/>
                    </w:rPr>
                    <w:t>GD-600</w:t>
                  </w:r>
                </w:p>
              </w:tc>
            </w:tr>
            <w:tr w14:paraId="5C81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5DFF9637">
                  <w:pPr>
                    <w:adjustRightInd w:val="0"/>
                    <w:jc w:val="center"/>
                    <w:rPr>
                      <w:color w:val="auto"/>
                      <w:szCs w:val="21"/>
                    </w:rPr>
                  </w:pPr>
                  <w:r>
                    <w:rPr>
                      <w:rFonts w:hint="eastAsia"/>
                      <w:color w:val="auto"/>
                      <w:szCs w:val="21"/>
                    </w:rPr>
                    <w:t>3</w:t>
                  </w:r>
                </w:p>
              </w:tc>
              <w:tc>
                <w:tcPr>
                  <w:tcW w:w="1998" w:type="pct"/>
                  <w:shd w:val="clear" w:color="auto" w:fill="auto"/>
                  <w:vAlign w:val="center"/>
                </w:tcPr>
                <w:p w14:paraId="45BB4A99">
                  <w:pPr>
                    <w:adjustRightInd w:val="0"/>
                    <w:jc w:val="center"/>
                    <w:rPr>
                      <w:color w:val="auto"/>
                      <w:szCs w:val="21"/>
                    </w:rPr>
                  </w:pPr>
                  <w:r>
                    <w:rPr>
                      <w:rFonts w:hint="eastAsia"/>
                      <w:color w:val="auto"/>
                      <w:szCs w:val="21"/>
                      <w:lang w:val="en-US" w:eastAsia="zh-CN"/>
                    </w:rPr>
                    <w:t>包装机</w:t>
                  </w:r>
                </w:p>
              </w:tc>
              <w:tc>
                <w:tcPr>
                  <w:tcW w:w="403" w:type="pct"/>
                  <w:shd w:val="clear" w:color="auto" w:fill="auto"/>
                  <w:noWrap/>
                  <w:vAlign w:val="center"/>
                </w:tcPr>
                <w:p w14:paraId="5D18BF00">
                  <w:pPr>
                    <w:widowControl/>
                    <w:jc w:val="center"/>
                    <w:rPr>
                      <w:rFonts w:hint="eastAsia" w:eastAsia="华文中宋"/>
                      <w:color w:val="auto"/>
                      <w:szCs w:val="21"/>
                      <w:lang w:eastAsia="zh-CN"/>
                    </w:rPr>
                  </w:pPr>
                  <w:r>
                    <w:rPr>
                      <w:rFonts w:hint="eastAsia" w:eastAsia="华文中宋"/>
                      <w:color w:val="auto"/>
                      <w:szCs w:val="21"/>
                      <w:lang w:val="en-US" w:eastAsia="zh-CN"/>
                    </w:rPr>
                    <w:t>4</w:t>
                  </w:r>
                </w:p>
              </w:tc>
              <w:tc>
                <w:tcPr>
                  <w:tcW w:w="403" w:type="pct"/>
                  <w:shd w:val="clear" w:color="auto" w:fill="auto"/>
                  <w:noWrap/>
                  <w:vAlign w:val="center"/>
                </w:tcPr>
                <w:p w14:paraId="52ABA144">
                  <w:pPr>
                    <w:jc w:val="center"/>
                    <w:rPr>
                      <w:color w:val="auto"/>
                      <w:szCs w:val="21"/>
                    </w:rPr>
                  </w:pPr>
                  <w:r>
                    <w:rPr>
                      <w:rFonts w:hint="eastAsia"/>
                      <w:color w:val="auto"/>
                      <w:szCs w:val="21"/>
                    </w:rPr>
                    <w:t>台</w:t>
                  </w:r>
                </w:p>
              </w:tc>
              <w:tc>
                <w:tcPr>
                  <w:tcW w:w="1789" w:type="pct"/>
                  <w:vAlign w:val="center"/>
                </w:tcPr>
                <w:p w14:paraId="7438DF9E">
                  <w:pPr>
                    <w:jc w:val="center"/>
                    <w:rPr>
                      <w:rFonts w:hint="default" w:eastAsia="宋体"/>
                      <w:color w:val="auto"/>
                      <w:szCs w:val="21"/>
                      <w:lang w:val="en-US" w:eastAsia="zh-CN"/>
                    </w:rPr>
                  </w:pPr>
                  <w:r>
                    <w:rPr>
                      <w:rFonts w:hint="eastAsia"/>
                      <w:color w:val="auto"/>
                      <w:szCs w:val="21"/>
                      <w:lang w:val="en-US" w:eastAsia="zh-CN"/>
                    </w:rPr>
                    <w:t>SB-100</w:t>
                  </w:r>
                </w:p>
              </w:tc>
            </w:tr>
            <w:tr w14:paraId="5206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6931703C">
                  <w:pPr>
                    <w:adjustRightInd w:val="0"/>
                    <w:jc w:val="center"/>
                    <w:rPr>
                      <w:color w:val="auto"/>
                      <w:szCs w:val="21"/>
                    </w:rPr>
                  </w:pPr>
                  <w:r>
                    <w:rPr>
                      <w:rFonts w:hint="eastAsia"/>
                      <w:color w:val="auto"/>
                      <w:szCs w:val="21"/>
                    </w:rPr>
                    <w:t>4</w:t>
                  </w:r>
                </w:p>
              </w:tc>
              <w:tc>
                <w:tcPr>
                  <w:tcW w:w="1998" w:type="pct"/>
                  <w:shd w:val="clear" w:color="auto" w:fill="auto"/>
                  <w:vAlign w:val="center"/>
                </w:tcPr>
                <w:p w14:paraId="6FD3F0D3">
                  <w:pPr>
                    <w:adjustRightInd w:val="0"/>
                    <w:jc w:val="center"/>
                    <w:rPr>
                      <w:color w:val="auto"/>
                      <w:szCs w:val="21"/>
                    </w:rPr>
                  </w:pPr>
                  <w:r>
                    <w:rPr>
                      <w:rFonts w:hint="eastAsia"/>
                      <w:color w:val="auto"/>
                      <w:szCs w:val="21"/>
                      <w:lang w:val="en-US" w:eastAsia="zh-CN"/>
                    </w:rPr>
                    <w:t>打散机</w:t>
                  </w:r>
                </w:p>
              </w:tc>
              <w:tc>
                <w:tcPr>
                  <w:tcW w:w="403" w:type="pct"/>
                  <w:shd w:val="clear" w:color="auto" w:fill="auto"/>
                  <w:noWrap/>
                  <w:vAlign w:val="center"/>
                </w:tcPr>
                <w:p w14:paraId="65054E0A">
                  <w:pPr>
                    <w:widowControl/>
                    <w:jc w:val="center"/>
                    <w:rPr>
                      <w:rFonts w:eastAsia="华文中宋"/>
                      <w:color w:val="auto"/>
                      <w:szCs w:val="21"/>
                    </w:rPr>
                  </w:pPr>
                  <w:r>
                    <w:rPr>
                      <w:rFonts w:hint="eastAsia" w:eastAsia="华文中宋"/>
                      <w:color w:val="auto"/>
                      <w:szCs w:val="21"/>
                    </w:rPr>
                    <w:t>1</w:t>
                  </w:r>
                </w:p>
              </w:tc>
              <w:tc>
                <w:tcPr>
                  <w:tcW w:w="403" w:type="pct"/>
                  <w:shd w:val="clear" w:color="auto" w:fill="auto"/>
                  <w:noWrap/>
                  <w:vAlign w:val="center"/>
                </w:tcPr>
                <w:p w14:paraId="7E5FC3E6">
                  <w:pPr>
                    <w:jc w:val="center"/>
                    <w:rPr>
                      <w:color w:val="auto"/>
                      <w:szCs w:val="21"/>
                    </w:rPr>
                  </w:pPr>
                  <w:r>
                    <w:rPr>
                      <w:rFonts w:hint="eastAsia"/>
                      <w:color w:val="auto"/>
                      <w:szCs w:val="21"/>
                    </w:rPr>
                    <w:t>台</w:t>
                  </w:r>
                </w:p>
              </w:tc>
              <w:tc>
                <w:tcPr>
                  <w:tcW w:w="1789" w:type="pct"/>
                  <w:vAlign w:val="center"/>
                </w:tcPr>
                <w:p w14:paraId="651260CC">
                  <w:pPr>
                    <w:jc w:val="center"/>
                    <w:rPr>
                      <w:rFonts w:hint="default" w:eastAsia="宋体"/>
                      <w:color w:val="auto"/>
                      <w:szCs w:val="21"/>
                      <w:lang w:val="en-US" w:eastAsia="zh-CN"/>
                    </w:rPr>
                  </w:pPr>
                  <w:r>
                    <w:rPr>
                      <w:rFonts w:hint="eastAsia"/>
                      <w:color w:val="auto"/>
                      <w:szCs w:val="21"/>
                      <w:lang w:val="en-US" w:eastAsia="zh-CN"/>
                    </w:rPr>
                    <w:t>DS-800</w:t>
                  </w:r>
                </w:p>
              </w:tc>
            </w:tr>
            <w:tr w14:paraId="4C69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6566E415">
                  <w:pPr>
                    <w:adjustRightInd w:val="0"/>
                    <w:jc w:val="center"/>
                    <w:rPr>
                      <w:color w:val="auto"/>
                      <w:szCs w:val="21"/>
                    </w:rPr>
                  </w:pPr>
                  <w:r>
                    <w:rPr>
                      <w:rFonts w:hint="eastAsia"/>
                      <w:color w:val="auto"/>
                      <w:szCs w:val="21"/>
                    </w:rPr>
                    <w:t>5</w:t>
                  </w:r>
                </w:p>
              </w:tc>
              <w:tc>
                <w:tcPr>
                  <w:tcW w:w="1998" w:type="pct"/>
                  <w:shd w:val="clear" w:color="auto" w:fill="auto"/>
                  <w:noWrap/>
                  <w:vAlign w:val="center"/>
                </w:tcPr>
                <w:p w14:paraId="3FE5E6C4">
                  <w:pPr>
                    <w:adjustRightInd w:val="0"/>
                    <w:jc w:val="center"/>
                    <w:rPr>
                      <w:rFonts w:hint="default" w:eastAsia="宋体"/>
                      <w:color w:val="auto"/>
                      <w:szCs w:val="21"/>
                      <w:lang w:val="en-US" w:eastAsia="zh-CN"/>
                    </w:rPr>
                  </w:pPr>
                  <w:r>
                    <w:rPr>
                      <w:rFonts w:hint="eastAsia"/>
                      <w:color w:val="auto"/>
                      <w:szCs w:val="21"/>
                      <w:lang w:val="en-US" w:eastAsia="zh-CN"/>
                    </w:rPr>
                    <w:t>混合机</w:t>
                  </w:r>
                </w:p>
              </w:tc>
              <w:tc>
                <w:tcPr>
                  <w:tcW w:w="403" w:type="pct"/>
                  <w:shd w:val="clear" w:color="auto" w:fill="auto"/>
                  <w:noWrap/>
                  <w:vAlign w:val="center"/>
                </w:tcPr>
                <w:p w14:paraId="15785880">
                  <w:pPr>
                    <w:widowControl/>
                    <w:jc w:val="center"/>
                    <w:rPr>
                      <w:rFonts w:hint="eastAsia" w:eastAsia="华文中宋"/>
                      <w:color w:val="auto"/>
                      <w:szCs w:val="21"/>
                      <w:lang w:eastAsia="zh-CN"/>
                    </w:rPr>
                  </w:pPr>
                  <w:r>
                    <w:rPr>
                      <w:rFonts w:hint="eastAsia" w:eastAsia="华文中宋"/>
                      <w:color w:val="auto"/>
                      <w:szCs w:val="21"/>
                      <w:lang w:val="en-US" w:eastAsia="zh-CN"/>
                    </w:rPr>
                    <w:t>1</w:t>
                  </w:r>
                </w:p>
              </w:tc>
              <w:tc>
                <w:tcPr>
                  <w:tcW w:w="403" w:type="pct"/>
                  <w:shd w:val="clear" w:color="auto" w:fill="auto"/>
                  <w:noWrap/>
                  <w:vAlign w:val="center"/>
                </w:tcPr>
                <w:p w14:paraId="39BF333F">
                  <w:pPr>
                    <w:jc w:val="center"/>
                    <w:rPr>
                      <w:color w:val="auto"/>
                      <w:szCs w:val="21"/>
                    </w:rPr>
                  </w:pPr>
                  <w:r>
                    <w:rPr>
                      <w:rFonts w:hint="eastAsia"/>
                      <w:color w:val="auto"/>
                      <w:szCs w:val="21"/>
                    </w:rPr>
                    <w:t>台</w:t>
                  </w:r>
                </w:p>
              </w:tc>
              <w:tc>
                <w:tcPr>
                  <w:tcW w:w="1789" w:type="pct"/>
                  <w:vAlign w:val="center"/>
                </w:tcPr>
                <w:p w14:paraId="4A76D069">
                  <w:pPr>
                    <w:jc w:val="center"/>
                    <w:rPr>
                      <w:rFonts w:hint="default" w:eastAsia="宋体"/>
                      <w:color w:val="auto"/>
                      <w:szCs w:val="21"/>
                      <w:lang w:val="en-US" w:eastAsia="zh-CN"/>
                    </w:rPr>
                  </w:pPr>
                  <w:r>
                    <w:rPr>
                      <w:rFonts w:hint="eastAsia"/>
                      <w:color w:val="auto"/>
                      <w:szCs w:val="21"/>
                      <w:lang w:val="en-US" w:eastAsia="zh-CN"/>
                    </w:rPr>
                    <w:t>HL-200</w:t>
                  </w:r>
                </w:p>
              </w:tc>
            </w:tr>
            <w:tr w14:paraId="3439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03" w:type="pct"/>
                  <w:shd w:val="clear" w:color="auto" w:fill="auto"/>
                  <w:noWrap/>
                  <w:vAlign w:val="center"/>
                </w:tcPr>
                <w:p w14:paraId="7EF55EB8">
                  <w:pPr>
                    <w:adjustRightInd w:val="0"/>
                    <w:jc w:val="center"/>
                    <w:rPr>
                      <w:color w:val="auto"/>
                      <w:szCs w:val="21"/>
                    </w:rPr>
                  </w:pPr>
                  <w:r>
                    <w:rPr>
                      <w:rFonts w:hint="eastAsia"/>
                      <w:color w:val="auto"/>
                      <w:szCs w:val="21"/>
                    </w:rPr>
                    <w:t>6</w:t>
                  </w:r>
                </w:p>
              </w:tc>
              <w:tc>
                <w:tcPr>
                  <w:tcW w:w="1998" w:type="pct"/>
                  <w:shd w:val="clear" w:color="auto" w:fill="auto"/>
                  <w:noWrap/>
                  <w:vAlign w:val="center"/>
                </w:tcPr>
                <w:p w14:paraId="469B4148">
                  <w:pPr>
                    <w:adjustRightInd w:val="0"/>
                    <w:jc w:val="center"/>
                    <w:rPr>
                      <w:rFonts w:hint="default" w:eastAsia="宋体"/>
                      <w:color w:val="auto"/>
                      <w:szCs w:val="21"/>
                      <w:lang w:val="en-US" w:eastAsia="zh-CN"/>
                    </w:rPr>
                  </w:pPr>
                  <w:r>
                    <w:rPr>
                      <w:rFonts w:hint="eastAsia"/>
                      <w:color w:val="auto"/>
                      <w:szCs w:val="21"/>
                      <w:lang w:val="en-US" w:eastAsia="zh-CN"/>
                    </w:rPr>
                    <w:t>螺带混合机</w:t>
                  </w:r>
                </w:p>
              </w:tc>
              <w:tc>
                <w:tcPr>
                  <w:tcW w:w="403" w:type="pct"/>
                  <w:shd w:val="clear" w:color="auto" w:fill="auto"/>
                  <w:noWrap/>
                  <w:vAlign w:val="center"/>
                </w:tcPr>
                <w:p w14:paraId="274D4B2E">
                  <w:pPr>
                    <w:widowControl/>
                    <w:jc w:val="center"/>
                    <w:rPr>
                      <w:rFonts w:hint="eastAsia" w:eastAsia="宋体"/>
                      <w:color w:val="auto"/>
                      <w:szCs w:val="21"/>
                      <w:lang w:eastAsia="zh-CN"/>
                    </w:rPr>
                  </w:pPr>
                  <w:r>
                    <w:rPr>
                      <w:rFonts w:hint="eastAsia"/>
                      <w:color w:val="auto"/>
                      <w:szCs w:val="21"/>
                      <w:lang w:val="en-US" w:eastAsia="zh-CN"/>
                    </w:rPr>
                    <w:t>4</w:t>
                  </w:r>
                </w:p>
              </w:tc>
              <w:tc>
                <w:tcPr>
                  <w:tcW w:w="403" w:type="pct"/>
                  <w:shd w:val="clear" w:color="auto" w:fill="auto"/>
                  <w:noWrap/>
                  <w:vAlign w:val="center"/>
                </w:tcPr>
                <w:p w14:paraId="3831B546">
                  <w:pPr>
                    <w:jc w:val="center"/>
                    <w:rPr>
                      <w:color w:val="auto"/>
                      <w:szCs w:val="21"/>
                    </w:rPr>
                  </w:pPr>
                  <w:r>
                    <w:rPr>
                      <w:rFonts w:hint="eastAsia"/>
                      <w:color w:val="auto"/>
                      <w:szCs w:val="21"/>
                    </w:rPr>
                    <w:t>台</w:t>
                  </w:r>
                </w:p>
              </w:tc>
              <w:tc>
                <w:tcPr>
                  <w:tcW w:w="1789" w:type="pct"/>
                  <w:vAlign w:val="center"/>
                </w:tcPr>
                <w:p w14:paraId="7870C78D">
                  <w:pPr>
                    <w:jc w:val="center"/>
                    <w:rPr>
                      <w:rFonts w:hint="default" w:eastAsia="宋体"/>
                      <w:color w:val="auto"/>
                      <w:szCs w:val="21"/>
                      <w:lang w:val="en-US" w:eastAsia="zh-CN"/>
                    </w:rPr>
                  </w:pPr>
                  <w:r>
                    <w:rPr>
                      <w:rFonts w:hint="eastAsia"/>
                      <w:color w:val="auto"/>
                      <w:szCs w:val="21"/>
                      <w:lang w:val="en-US" w:eastAsia="zh-CN"/>
                    </w:rPr>
                    <w:t>YX-5000</w:t>
                  </w:r>
                </w:p>
              </w:tc>
            </w:tr>
          </w:tbl>
          <w:p w14:paraId="474D41D0">
            <w:pPr>
              <w:spacing w:line="440" w:lineRule="atLeast"/>
              <w:ind w:firstLine="472" w:firstLineChars="196"/>
              <w:rPr>
                <w:b/>
                <w:color w:val="auto"/>
                <w:kern w:val="28"/>
                <w:sz w:val="24"/>
              </w:rPr>
            </w:pPr>
            <w:r>
              <w:rPr>
                <w:rFonts w:hint="eastAsia"/>
                <w:b/>
                <w:color w:val="auto"/>
                <w:kern w:val="28"/>
                <w:sz w:val="24"/>
              </w:rPr>
              <w:t>四</w:t>
            </w:r>
            <w:r>
              <w:rPr>
                <w:b/>
                <w:color w:val="auto"/>
                <w:kern w:val="28"/>
                <w:sz w:val="24"/>
              </w:rPr>
              <w:t>、</w:t>
            </w:r>
            <w:r>
              <w:rPr>
                <w:rFonts w:hint="eastAsia"/>
                <w:b/>
                <w:bCs/>
                <w:color w:val="auto"/>
                <w:kern w:val="28"/>
                <w:sz w:val="24"/>
              </w:rPr>
              <w:t>主要原辅材料及其性质和能源消耗</w:t>
            </w:r>
          </w:p>
          <w:p w14:paraId="471AC79C">
            <w:pPr>
              <w:spacing w:line="440" w:lineRule="atLeast"/>
              <w:ind w:firstLine="480" w:firstLineChars="200"/>
              <w:rPr>
                <w:color w:val="auto"/>
                <w:sz w:val="24"/>
              </w:rPr>
            </w:pPr>
            <w:r>
              <w:rPr>
                <w:color w:val="auto"/>
                <w:sz w:val="24"/>
              </w:rPr>
              <w:t>主要原辅材料消耗见下表：</w:t>
            </w:r>
          </w:p>
          <w:p w14:paraId="4E7B2632">
            <w:pPr>
              <w:keepNext/>
              <w:spacing w:after="31" w:afterLines="10" w:line="440" w:lineRule="atLeast"/>
              <w:jc w:val="center"/>
              <w:rPr>
                <w:b/>
                <w:color w:val="auto"/>
                <w:sz w:val="24"/>
              </w:rPr>
            </w:pPr>
            <w:r>
              <w:rPr>
                <w:b/>
                <w:color w:val="auto"/>
                <w:sz w:val="24"/>
              </w:rPr>
              <w:t>表2-3  主要原辅材料消耗一览表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4"/>
              <w:gridCol w:w="1476"/>
              <w:gridCol w:w="1062"/>
              <w:gridCol w:w="1043"/>
              <w:gridCol w:w="1045"/>
              <w:gridCol w:w="1037"/>
            </w:tblGrid>
            <w:tr w14:paraId="06EA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shd w:val="clear" w:color="auto" w:fill="auto"/>
                  <w:noWrap/>
                  <w:vAlign w:val="center"/>
                </w:tcPr>
                <w:p w14:paraId="71C7C750">
                  <w:pPr>
                    <w:jc w:val="center"/>
                    <w:rPr>
                      <w:color w:val="auto"/>
                      <w:szCs w:val="21"/>
                    </w:rPr>
                  </w:pPr>
                  <w:r>
                    <w:rPr>
                      <w:color w:val="auto"/>
                      <w:szCs w:val="21"/>
                    </w:rPr>
                    <w:t>序号</w:t>
                  </w:r>
                </w:p>
              </w:tc>
              <w:tc>
                <w:tcPr>
                  <w:tcW w:w="968" w:type="pct"/>
                  <w:shd w:val="clear" w:color="auto" w:fill="auto"/>
                  <w:noWrap/>
                  <w:vAlign w:val="center"/>
                </w:tcPr>
                <w:p w14:paraId="7C34ED3C">
                  <w:pPr>
                    <w:jc w:val="center"/>
                    <w:rPr>
                      <w:color w:val="auto"/>
                      <w:szCs w:val="21"/>
                    </w:rPr>
                  </w:pPr>
                  <w:r>
                    <w:rPr>
                      <w:color w:val="auto"/>
                      <w:szCs w:val="21"/>
                    </w:rPr>
                    <w:t>名称</w:t>
                  </w:r>
                </w:p>
              </w:tc>
              <w:tc>
                <w:tcPr>
                  <w:tcW w:w="944" w:type="pct"/>
                  <w:shd w:val="clear" w:color="auto" w:fill="auto"/>
                  <w:noWrap/>
                  <w:vAlign w:val="center"/>
                </w:tcPr>
                <w:p w14:paraId="592657E4">
                  <w:pPr>
                    <w:jc w:val="center"/>
                    <w:rPr>
                      <w:color w:val="auto"/>
                      <w:szCs w:val="21"/>
                    </w:rPr>
                  </w:pPr>
                  <w:r>
                    <w:rPr>
                      <w:color w:val="auto"/>
                      <w:szCs w:val="21"/>
                    </w:rPr>
                    <w:t>年用量（t/a）</w:t>
                  </w:r>
                </w:p>
              </w:tc>
              <w:tc>
                <w:tcPr>
                  <w:tcW w:w="679" w:type="pct"/>
                  <w:vAlign w:val="center"/>
                </w:tcPr>
                <w:p w14:paraId="59A3ACAA">
                  <w:pPr>
                    <w:adjustRightInd w:val="0"/>
                    <w:snapToGrid w:val="0"/>
                    <w:jc w:val="center"/>
                    <w:rPr>
                      <w:color w:val="auto"/>
                      <w:szCs w:val="21"/>
                    </w:rPr>
                  </w:pPr>
                  <w:r>
                    <w:rPr>
                      <w:color w:val="auto"/>
                      <w:szCs w:val="21"/>
                    </w:rPr>
                    <w:t>最大储存量（t/a）</w:t>
                  </w:r>
                </w:p>
              </w:tc>
              <w:tc>
                <w:tcPr>
                  <w:tcW w:w="667" w:type="pct"/>
                  <w:vAlign w:val="center"/>
                </w:tcPr>
                <w:p w14:paraId="12D54803">
                  <w:pPr>
                    <w:adjustRightInd w:val="0"/>
                    <w:snapToGrid w:val="0"/>
                    <w:jc w:val="center"/>
                    <w:rPr>
                      <w:color w:val="auto"/>
                      <w:szCs w:val="21"/>
                    </w:rPr>
                  </w:pPr>
                  <w:r>
                    <w:rPr>
                      <w:color w:val="auto"/>
                      <w:szCs w:val="21"/>
                    </w:rPr>
                    <w:t>规格</w:t>
                  </w:r>
                </w:p>
              </w:tc>
              <w:tc>
                <w:tcPr>
                  <w:tcW w:w="668" w:type="pct"/>
                  <w:vAlign w:val="center"/>
                </w:tcPr>
                <w:p w14:paraId="0A92E680">
                  <w:pPr>
                    <w:adjustRightInd w:val="0"/>
                    <w:snapToGrid w:val="0"/>
                    <w:jc w:val="center"/>
                    <w:rPr>
                      <w:rFonts w:hint="eastAsia" w:eastAsia="宋体"/>
                      <w:color w:val="auto"/>
                      <w:szCs w:val="21"/>
                      <w:lang w:val="en-US" w:eastAsia="zh-CN"/>
                    </w:rPr>
                  </w:pPr>
                  <w:r>
                    <w:rPr>
                      <w:rFonts w:hint="eastAsia"/>
                      <w:color w:val="auto"/>
                      <w:szCs w:val="21"/>
                      <w:lang w:val="en-US" w:eastAsia="zh-CN"/>
                    </w:rPr>
                    <w:t>粒径</w:t>
                  </w:r>
                </w:p>
              </w:tc>
              <w:tc>
                <w:tcPr>
                  <w:tcW w:w="663" w:type="pct"/>
                  <w:vAlign w:val="center"/>
                </w:tcPr>
                <w:p w14:paraId="026D2E6E">
                  <w:pPr>
                    <w:adjustRightInd w:val="0"/>
                    <w:snapToGrid w:val="0"/>
                    <w:jc w:val="center"/>
                    <w:rPr>
                      <w:color w:val="auto"/>
                      <w:szCs w:val="21"/>
                    </w:rPr>
                  </w:pPr>
                  <w:r>
                    <w:rPr>
                      <w:rFonts w:hint="eastAsia"/>
                      <w:color w:val="auto"/>
                      <w:szCs w:val="21"/>
                    </w:rPr>
                    <w:t>备注</w:t>
                  </w:r>
                </w:p>
              </w:tc>
            </w:tr>
            <w:tr w14:paraId="2803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shd w:val="clear" w:color="auto" w:fill="auto"/>
                  <w:noWrap/>
                  <w:vAlign w:val="center"/>
                </w:tcPr>
                <w:p w14:paraId="075E7AFC">
                  <w:pPr>
                    <w:jc w:val="center"/>
                    <w:rPr>
                      <w:color w:val="auto"/>
                      <w:szCs w:val="21"/>
                    </w:rPr>
                  </w:pPr>
                  <w:r>
                    <w:rPr>
                      <w:color w:val="auto"/>
                    </w:rPr>
                    <w:t>1</w:t>
                  </w:r>
                </w:p>
              </w:tc>
              <w:tc>
                <w:tcPr>
                  <w:tcW w:w="968" w:type="pct"/>
                  <w:shd w:val="clear" w:color="auto" w:fill="auto"/>
                  <w:noWrap/>
                  <w:vAlign w:val="center"/>
                </w:tcPr>
                <w:p w14:paraId="59BDF5D5">
                  <w:pPr>
                    <w:jc w:val="center"/>
                    <w:rPr>
                      <w:rFonts w:hint="eastAsia" w:eastAsia="宋体"/>
                      <w:color w:val="auto"/>
                      <w:szCs w:val="21"/>
                      <w:lang w:eastAsia="zh-CN"/>
                    </w:rPr>
                  </w:pPr>
                  <w:r>
                    <w:rPr>
                      <w:rFonts w:hint="eastAsia"/>
                      <w:color w:val="auto"/>
                      <w:lang w:val="en-US" w:eastAsia="zh-CN"/>
                    </w:rPr>
                    <w:t>二氧化钛</w:t>
                  </w:r>
                </w:p>
              </w:tc>
              <w:tc>
                <w:tcPr>
                  <w:tcW w:w="944" w:type="pct"/>
                  <w:shd w:val="clear" w:color="auto" w:fill="auto"/>
                  <w:noWrap/>
                  <w:vAlign w:val="center"/>
                </w:tcPr>
                <w:p w14:paraId="1B460313">
                  <w:pPr>
                    <w:jc w:val="center"/>
                    <w:rPr>
                      <w:rFonts w:hint="default" w:eastAsia="宋体"/>
                      <w:color w:val="auto"/>
                      <w:szCs w:val="21"/>
                      <w:lang w:val="en-US" w:eastAsia="zh-CN"/>
                    </w:rPr>
                  </w:pPr>
                  <w:r>
                    <w:rPr>
                      <w:rFonts w:hint="eastAsia"/>
                      <w:color w:val="auto"/>
                      <w:lang w:val="en-US" w:eastAsia="zh-CN"/>
                    </w:rPr>
                    <w:t>650</w:t>
                  </w:r>
                </w:p>
              </w:tc>
              <w:tc>
                <w:tcPr>
                  <w:tcW w:w="679" w:type="pct"/>
                  <w:vAlign w:val="center"/>
                </w:tcPr>
                <w:p w14:paraId="2FCC5843">
                  <w:pPr>
                    <w:jc w:val="center"/>
                    <w:rPr>
                      <w:rFonts w:hint="default" w:eastAsia="宋体"/>
                      <w:color w:val="auto"/>
                      <w:szCs w:val="21"/>
                      <w:lang w:val="en-US" w:eastAsia="zh-CN"/>
                    </w:rPr>
                  </w:pPr>
                  <w:r>
                    <w:rPr>
                      <w:rFonts w:hint="eastAsia"/>
                      <w:color w:val="auto"/>
                      <w:lang w:val="en-US" w:eastAsia="zh-CN"/>
                    </w:rPr>
                    <w:t>100</w:t>
                  </w:r>
                </w:p>
              </w:tc>
              <w:tc>
                <w:tcPr>
                  <w:tcW w:w="667" w:type="pct"/>
                  <w:shd w:val="clear" w:color="auto" w:fill="auto"/>
                  <w:vAlign w:val="center"/>
                </w:tcPr>
                <w:p w14:paraId="03A6F5B9">
                  <w:pPr>
                    <w:jc w:val="center"/>
                    <w:rPr>
                      <w:rFonts w:hint="default" w:eastAsia="宋体"/>
                      <w:color w:val="auto"/>
                      <w:szCs w:val="21"/>
                      <w:lang w:val="en-US" w:eastAsia="zh-CN"/>
                    </w:rPr>
                  </w:pPr>
                  <w:r>
                    <w:rPr>
                      <w:rFonts w:hint="eastAsia"/>
                      <w:color w:val="auto"/>
                      <w:szCs w:val="21"/>
                      <w:lang w:val="en-US" w:eastAsia="zh-CN"/>
                    </w:rPr>
                    <w:t>25kg/袋</w:t>
                  </w:r>
                </w:p>
              </w:tc>
              <w:tc>
                <w:tcPr>
                  <w:tcW w:w="668" w:type="pct"/>
                  <w:shd w:val="clear" w:color="auto" w:fill="auto"/>
                  <w:vAlign w:val="center"/>
                </w:tcPr>
                <w:p w14:paraId="6521B9AC">
                  <w:pPr>
                    <w:jc w:val="center"/>
                    <w:rPr>
                      <w:rFonts w:hint="default"/>
                      <w:color w:val="auto"/>
                      <w:szCs w:val="21"/>
                      <w:lang w:val="en-US" w:eastAsia="zh-CN"/>
                    </w:rPr>
                  </w:pPr>
                  <w:r>
                    <w:rPr>
                      <w:rFonts w:hint="eastAsia"/>
                      <w:color w:val="auto"/>
                      <w:szCs w:val="21"/>
                      <w:lang w:val="en-US" w:eastAsia="zh-CN"/>
                    </w:rPr>
                    <w:t>0.23um</w:t>
                  </w:r>
                </w:p>
              </w:tc>
              <w:tc>
                <w:tcPr>
                  <w:tcW w:w="663" w:type="pct"/>
                  <w:vMerge w:val="restart"/>
                  <w:vAlign w:val="center"/>
                </w:tcPr>
                <w:p w14:paraId="76E9EF6A">
                  <w:pPr>
                    <w:jc w:val="center"/>
                    <w:rPr>
                      <w:rFonts w:hint="default"/>
                      <w:color w:val="auto"/>
                      <w:szCs w:val="21"/>
                      <w:lang w:val="en-US"/>
                    </w:rPr>
                  </w:pPr>
                  <w:r>
                    <w:rPr>
                      <w:rFonts w:hint="eastAsia"/>
                      <w:color w:val="auto"/>
                      <w:szCs w:val="21"/>
                      <w:lang w:val="en-US" w:eastAsia="zh-CN"/>
                    </w:rPr>
                    <w:t>外购，放置原料存储区</w:t>
                  </w:r>
                </w:p>
              </w:tc>
            </w:tr>
            <w:tr w14:paraId="6CAE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shd w:val="clear" w:color="auto" w:fill="auto"/>
                  <w:noWrap/>
                  <w:vAlign w:val="center"/>
                </w:tcPr>
                <w:p w14:paraId="1C75623D">
                  <w:pPr>
                    <w:jc w:val="center"/>
                    <w:rPr>
                      <w:color w:val="auto"/>
                      <w:szCs w:val="21"/>
                    </w:rPr>
                  </w:pPr>
                  <w:r>
                    <w:rPr>
                      <w:color w:val="auto"/>
                    </w:rPr>
                    <w:t>2</w:t>
                  </w:r>
                </w:p>
              </w:tc>
              <w:tc>
                <w:tcPr>
                  <w:tcW w:w="968" w:type="pct"/>
                  <w:shd w:val="clear" w:color="auto" w:fill="auto"/>
                  <w:noWrap/>
                  <w:vAlign w:val="center"/>
                </w:tcPr>
                <w:p w14:paraId="6EB70BAF">
                  <w:pPr>
                    <w:jc w:val="center"/>
                    <w:rPr>
                      <w:color w:val="auto"/>
                      <w:szCs w:val="21"/>
                    </w:rPr>
                  </w:pPr>
                  <w:r>
                    <w:rPr>
                      <w:rFonts w:hint="eastAsia"/>
                      <w:color w:val="auto"/>
                      <w:lang w:val="en-US" w:eastAsia="zh-CN"/>
                    </w:rPr>
                    <w:t>碳酸钙粉</w:t>
                  </w:r>
                </w:p>
              </w:tc>
              <w:tc>
                <w:tcPr>
                  <w:tcW w:w="944" w:type="pct"/>
                  <w:shd w:val="clear" w:color="auto" w:fill="auto"/>
                  <w:noWrap/>
                  <w:vAlign w:val="center"/>
                </w:tcPr>
                <w:p w14:paraId="4780625D">
                  <w:pPr>
                    <w:jc w:val="center"/>
                    <w:rPr>
                      <w:rFonts w:hint="default" w:eastAsia="宋体"/>
                      <w:color w:val="auto"/>
                      <w:szCs w:val="21"/>
                      <w:lang w:val="en-US" w:eastAsia="zh-CN"/>
                    </w:rPr>
                  </w:pPr>
                  <w:r>
                    <w:rPr>
                      <w:rFonts w:hint="eastAsia"/>
                      <w:color w:val="auto"/>
                      <w:lang w:val="en-US" w:eastAsia="zh-CN"/>
                    </w:rPr>
                    <w:t>300</w:t>
                  </w:r>
                </w:p>
              </w:tc>
              <w:tc>
                <w:tcPr>
                  <w:tcW w:w="679" w:type="pct"/>
                  <w:vAlign w:val="center"/>
                </w:tcPr>
                <w:p w14:paraId="30F5A4FF">
                  <w:pPr>
                    <w:jc w:val="center"/>
                    <w:rPr>
                      <w:rFonts w:hint="default" w:eastAsia="宋体"/>
                      <w:color w:val="auto"/>
                      <w:szCs w:val="21"/>
                      <w:lang w:val="en-US" w:eastAsia="zh-CN"/>
                    </w:rPr>
                  </w:pPr>
                  <w:r>
                    <w:rPr>
                      <w:rFonts w:hint="eastAsia"/>
                      <w:color w:val="auto"/>
                      <w:lang w:val="en-US" w:eastAsia="zh-CN"/>
                    </w:rPr>
                    <w:t>100</w:t>
                  </w:r>
                </w:p>
              </w:tc>
              <w:tc>
                <w:tcPr>
                  <w:tcW w:w="667" w:type="pct"/>
                  <w:shd w:val="clear" w:color="auto" w:fill="FFFFFF" w:themeFill="background1"/>
                  <w:vAlign w:val="center"/>
                </w:tcPr>
                <w:p w14:paraId="45A0EB8A">
                  <w:pPr>
                    <w:jc w:val="center"/>
                    <w:rPr>
                      <w:color w:val="auto"/>
                      <w:szCs w:val="21"/>
                      <w:highlight w:val="none"/>
                    </w:rPr>
                  </w:pPr>
                  <w:r>
                    <w:rPr>
                      <w:rFonts w:hint="eastAsia"/>
                      <w:color w:val="auto"/>
                      <w:szCs w:val="21"/>
                      <w:highlight w:val="none"/>
                      <w:lang w:val="en-US" w:eastAsia="zh-CN"/>
                    </w:rPr>
                    <w:t>25kg/袋</w:t>
                  </w:r>
                </w:p>
              </w:tc>
              <w:tc>
                <w:tcPr>
                  <w:tcW w:w="668" w:type="pct"/>
                  <w:shd w:val="clear" w:color="auto" w:fill="FFFFFF" w:themeFill="background1"/>
                  <w:vAlign w:val="center"/>
                </w:tcPr>
                <w:p w14:paraId="4C16D4A7">
                  <w:pPr>
                    <w:jc w:val="center"/>
                    <w:rPr>
                      <w:rFonts w:hint="eastAsia"/>
                      <w:color w:val="auto"/>
                      <w:szCs w:val="21"/>
                      <w:highlight w:val="yellow"/>
                      <w:lang w:val="en-US" w:eastAsia="zh-CN"/>
                    </w:rPr>
                  </w:pPr>
                  <w:r>
                    <w:rPr>
                      <w:rFonts w:hint="eastAsia" w:ascii="Helvetica" w:hAnsi="Helvetica" w:eastAsia="宋体" w:cs="Helvetica"/>
                      <w:i w:val="0"/>
                      <w:iCs w:val="0"/>
                      <w:caps w:val="0"/>
                      <w:color w:val="auto"/>
                      <w:spacing w:val="0"/>
                      <w:sz w:val="16"/>
                      <w:szCs w:val="16"/>
                      <w:shd w:val="clear" w:fill="FFFFFF"/>
                      <w:lang w:val="en-US" w:eastAsia="zh-CN"/>
                    </w:rPr>
                    <w:t>0.02</w:t>
                  </w:r>
                  <w:r>
                    <w:rPr>
                      <w:rFonts w:ascii="Helvetica" w:hAnsi="Helvetica" w:eastAsia="Helvetica" w:cs="Helvetica"/>
                      <w:i w:val="0"/>
                      <w:iCs w:val="0"/>
                      <w:caps w:val="0"/>
                      <w:color w:val="auto"/>
                      <w:spacing w:val="0"/>
                      <w:sz w:val="16"/>
                      <w:szCs w:val="16"/>
                      <w:shd w:val="clear" w:fill="FFFFFF"/>
                    </w:rPr>
                    <w:t>μm</w:t>
                  </w:r>
                </w:p>
              </w:tc>
              <w:tc>
                <w:tcPr>
                  <w:tcW w:w="663" w:type="pct"/>
                  <w:vMerge w:val="continue"/>
                  <w:vAlign w:val="center"/>
                </w:tcPr>
                <w:p w14:paraId="6BF5BDDA">
                  <w:pPr>
                    <w:jc w:val="center"/>
                    <w:rPr>
                      <w:color w:val="auto"/>
                      <w:szCs w:val="21"/>
                    </w:rPr>
                  </w:pPr>
                </w:p>
              </w:tc>
            </w:tr>
            <w:tr w14:paraId="7E59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7" w:type="pct"/>
                  <w:shd w:val="clear" w:color="auto" w:fill="auto"/>
                  <w:noWrap/>
                  <w:vAlign w:val="center"/>
                </w:tcPr>
                <w:p w14:paraId="60E7EF54">
                  <w:pPr>
                    <w:jc w:val="center"/>
                    <w:rPr>
                      <w:rFonts w:hint="eastAsia" w:eastAsia="宋体"/>
                      <w:color w:val="auto"/>
                      <w:lang w:val="en-US" w:eastAsia="zh-CN"/>
                    </w:rPr>
                  </w:pPr>
                  <w:r>
                    <w:rPr>
                      <w:rFonts w:hint="eastAsia"/>
                      <w:color w:val="auto"/>
                      <w:lang w:val="en-US" w:eastAsia="zh-CN"/>
                    </w:rPr>
                    <w:t>3</w:t>
                  </w:r>
                </w:p>
              </w:tc>
              <w:tc>
                <w:tcPr>
                  <w:tcW w:w="968" w:type="pct"/>
                  <w:shd w:val="clear" w:color="auto" w:fill="auto"/>
                  <w:noWrap/>
                  <w:vAlign w:val="center"/>
                </w:tcPr>
                <w:p w14:paraId="6D07388D">
                  <w:pPr>
                    <w:jc w:val="center"/>
                    <w:rPr>
                      <w:rFonts w:hint="default"/>
                      <w:color w:val="auto"/>
                      <w:lang w:val="en-US" w:eastAsia="zh-CN"/>
                    </w:rPr>
                  </w:pPr>
                  <w:r>
                    <w:rPr>
                      <w:rFonts w:hint="eastAsia"/>
                      <w:color w:val="auto"/>
                      <w:lang w:val="en-US" w:eastAsia="zh-CN"/>
                    </w:rPr>
                    <w:t>云母粉</w:t>
                  </w:r>
                </w:p>
              </w:tc>
              <w:tc>
                <w:tcPr>
                  <w:tcW w:w="944" w:type="pct"/>
                  <w:shd w:val="clear" w:color="auto" w:fill="auto"/>
                  <w:noWrap/>
                  <w:vAlign w:val="center"/>
                </w:tcPr>
                <w:p w14:paraId="53719414">
                  <w:pPr>
                    <w:jc w:val="center"/>
                    <w:rPr>
                      <w:rFonts w:hint="default" w:eastAsia="宋体"/>
                      <w:color w:val="auto"/>
                      <w:lang w:val="en-US" w:eastAsia="zh-CN"/>
                    </w:rPr>
                  </w:pPr>
                  <w:r>
                    <w:rPr>
                      <w:rFonts w:hint="eastAsia"/>
                      <w:color w:val="auto"/>
                      <w:lang w:val="en-US" w:eastAsia="zh-CN"/>
                    </w:rPr>
                    <w:t>1000</w:t>
                  </w:r>
                </w:p>
              </w:tc>
              <w:tc>
                <w:tcPr>
                  <w:tcW w:w="679" w:type="pct"/>
                  <w:vAlign w:val="center"/>
                </w:tcPr>
                <w:p w14:paraId="274E37A8">
                  <w:pPr>
                    <w:jc w:val="center"/>
                    <w:rPr>
                      <w:rFonts w:hint="default" w:eastAsia="宋体"/>
                      <w:color w:val="auto"/>
                      <w:lang w:val="en-US" w:eastAsia="zh-CN"/>
                    </w:rPr>
                  </w:pPr>
                  <w:r>
                    <w:rPr>
                      <w:rFonts w:hint="eastAsia"/>
                      <w:color w:val="auto"/>
                      <w:lang w:val="en-US" w:eastAsia="zh-CN"/>
                    </w:rPr>
                    <w:t>100</w:t>
                  </w:r>
                </w:p>
              </w:tc>
              <w:tc>
                <w:tcPr>
                  <w:tcW w:w="667" w:type="pct"/>
                  <w:shd w:val="clear" w:color="auto" w:fill="FFFFFF" w:themeFill="background1"/>
                  <w:vAlign w:val="center"/>
                </w:tcPr>
                <w:p w14:paraId="129D9DC2">
                  <w:pPr>
                    <w:jc w:val="center"/>
                    <w:rPr>
                      <w:color w:val="auto"/>
                      <w:szCs w:val="21"/>
                      <w:highlight w:val="none"/>
                    </w:rPr>
                  </w:pPr>
                  <w:r>
                    <w:rPr>
                      <w:rFonts w:hint="eastAsia"/>
                      <w:color w:val="auto"/>
                      <w:szCs w:val="21"/>
                      <w:highlight w:val="none"/>
                      <w:lang w:val="en-US" w:eastAsia="zh-CN"/>
                    </w:rPr>
                    <w:t>25kg/袋</w:t>
                  </w:r>
                </w:p>
              </w:tc>
              <w:tc>
                <w:tcPr>
                  <w:tcW w:w="668" w:type="pct"/>
                  <w:shd w:val="clear" w:color="auto" w:fill="FFFFFF" w:themeFill="background1"/>
                  <w:vAlign w:val="center"/>
                </w:tcPr>
                <w:p w14:paraId="2BBC79CA">
                  <w:pPr>
                    <w:jc w:val="center"/>
                    <w:rPr>
                      <w:rFonts w:hint="default"/>
                      <w:color w:val="auto"/>
                      <w:szCs w:val="21"/>
                      <w:highlight w:val="none"/>
                      <w:lang w:val="en-US" w:eastAsia="zh-CN"/>
                    </w:rPr>
                  </w:pPr>
                  <w:r>
                    <w:rPr>
                      <w:rFonts w:hint="eastAsia"/>
                      <w:color w:val="auto"/>
                      <w:szCs w:val="21"/>
                      <w:highlight w:val="none"/>
                      <w:lang w:val="en-US" w:eastAsia="zh-CN"/>
                    </w:rPr>
                    <w:t>10um</w:t>
                  </w:r>
                </w:p>
              </w:tc>
              <w:tc>
                <w:tcPr>
                  <w:tcW w:w="663" w:type="pct"/>
                  <w:vMerge w:val="continue"/>
                  <w:vAlign w:val="center"/>
                </w:tcPr>
                <w:p w14:paraId="785E7CA9">
                  <w:pPr>
                    <w:jc w:val="center"/>
                    <w:rPr>
                      <w:color w:val="auto"/>
                      <w:szCs w:val="21"/>
                    </w:rPr>
                  </w:pPr>
                </w:p>
              </w:tc>
            </w:tr>
            <w:tr w14:paraId="3099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07" w:type="pct"/>
                  <w:shd w:val="clear" w:color="auto" w:fill="auto"/>
                  <w:noWrap/>
                  <w:vAlign w:val="center"/>
                </w:tcPr>
                <w:p w14:paraId="6F7F04FC">
                  <w:pPr>
                    <w:jc w:val="center"/>
                    <w:rPr>
                      <w:color w:val="auto"/>
                      <w:szCs w:val="21"/>
                    </w:rPr>
                  </w:pPr>
                  <w:r>
                    <w:rPr>
                      <w:rFonts w:hint="eastAsia"/>
                      <w:color w:val="auto"/>
                      <w:lang w:val="en-US" w:eastAsia="zh-CN"/>
                    </w:rPr>
                    <w:t>4</w:t>
                  </w:r>
                </w:p>
              </w:tc>
              <w:tc>
                <w:tcPr>
                  <w:tcW w:w="968" w:type="pct"/>
                  <w:shd w:val="clear" w:color="auto" w:fill="auto"/>
                  <w:noWrap/>
                  <w:vAlign w:val="center"/>
                </w:tcPr>
                <w:p w14:paraId="415F2B43">
                  <w:pPr>
                    <w:jc w:val="center"/>
                    <w:rPr>
                      <w:rFonts w:hint="default" w:eastAsia="宋体"/>
                      <w:color w:val="auto"/>
                      <w:lang w:val="en-US" w:eastAsia="zh-CN"/>
                    </w:rPr>
                  </w:pPr>
                  <w:r>
                    <w:rPr>
                      <w:rFonts w:hint="default" w:eastAsia="宋体"/>
                      <w:color w:val="auto"/>
                      <w:lang w:val="en-US" w:eastAsia="zh-CN"/>
                    </w:rPr>
                    <w:t>石英粉</w:t>
                  </w:r>
                </w:p>
              </w:tc>
              <w:tc>
                <w:tcPr>
                  <w:tcW w:w="944" w:type="pct"/>
                  <w:shd w:val="clear" w:color="auto" w:fill="auto"/>
                  <w:noWrap/>
                  <w:vAlign w:val="center"/>
                </w:tcPr>
                <w:p w14:paraId="1F3048FF">
                  <w:pPr>
                    <w:jc w:val="center"/>
                    <w:rPr>
                      <w:rFonts w:hint="default"/>
                      <w:color w:val="auto"/>
                      <w:szCs w:val="21"/>
                      <w:lang w:val="en-US"/>
                    </w:rPr>
                  </w:pPr>
                  <w:r>
                    <w:rPr>
                      <w:rFonts w:hint="eastAsia"/>
                      <w:color w:val="auto"/>
                      <w:lang w:val="en-US" w:eastAsia="zh-CN"/>
                    </w:rPr>
                    <w:t>200</w:t>
                  </w:r>
                </w:p>
              </w:tc>
              <w:tc>
                <w:tcPr>
                  <w:tcW w:w="679" w:type="pct"/>
                  <w:vAlign w:val="center"/>
                </w:tcPr>
                <w:p w14:paraId="5ED4E7A1">
                  <w:pPr>
                    <w:jc w:val="center"/>
                    <w:rPr>
                      <w:color w:val="auto"/>
                      <w:szCs w:val="21"/>
                    </w:rPr>
                  </w:pPr>
                  <w:r>
                    <w:rPr>
                      <w:rFonts w:hint="eastAsia"/>
                      <w:color w:val="auto"/>
                      <w:lang w:val="en-US" w:eastAsia="zh-CN"/>
                    </w:rPr>
                    <w:t>100</w:t>
                  </w:r>
                </w:p>
              </w:tc>
              <w:tc>
                <w:tcPr>
                  <w:tcW w:w="667" w:type="pct"/>
                  <w:shd w:val="clear" w:color="auto" w:fill="FFFFFF" w:themeFill="background1"/>
                  <w:vAlign w:val="center"/>
                </w:tcPr>
                <w:p w14:paraId="1BB2EBAA">
                  <w:pPr>
                    <w:jc w:val="center"/>
                    <w:rPr>
                      <w:color w:val="auto"/>
                      <w:szCs w:val="21"/>
                      <w:highlight w:val="none"/>
                    </w:rPr>
                  </w:pPr>
                  <w:r>
                    <w:rPr>
                      <w:rFonts w:hint="eastAsia"/>
                      <w:color w:val="auto"/>
                      <w:szCs w:val="21"/>
                      <w:highlight w:val="none"/>
                      <w:lang w:val="en-US" w:eastAsia="zh-CN"/>
                    </w:rPr>
                    <w:t>25kg/袋</w:t>
                  </w:r>
                </w:p>
              </w:tc>
              <w:tc>
                <w:tcPr>
                  <w:tcW w:w="668" w:type="pct"/>
                  <w:shd w:val="clear" w:color="auto" w:fill="FFFFFF" w:themeFill="background1"/>
                  <w:vAlign w:val="center"/>
                </w:tcPr>
                <w:p w14:paraId="345212E5">
                  <w:pPr>
                    <w:jc w:val="center"/>
                    <w:rPr>
                      <w:rFonts w:hint="default"/>
                      <w:color w:val="auto"/>
                      <w:szCs w:val="21"/>
                      <w:highlight w:val="none"/>
                      <w:lang w:val="en-US" w:eastAsia="zh-CN"/>
                    </w:rPr>
                  </w:pPr>
                  <w:r>
                    <w:rPr>
                      <w:rFonts w:hint="eastAsia"/>
                      <w:color w:val="auto"/>
                      <w:szCs w:val="21"/>
                      <w:highlight w:val="none"/>
                      <w:lang w:val="en-US" w:eastAsia="zh-CN"/>
                    </w:rPr>
                    <w:t>4um</w:t>
                  </w:r>
                </w:p>
              </w:tc>
              <w:tc>
                <w:tcPr>
                  <w:tcW w:w="663" w:type="pct"/>
                  <w:vMerge w:val="continue"/>
                  <w:vAlign w:val="center"/>
                </w:tcPr>
                <w:p w14:paraId="34F5FC40">
                  <w:pPr>
                    <w:jc w:val="center"/>
                    <w:rPr>
                      <w:color w:val="auto"/>
                      <w:szCs w:val="21"/>
                    </w:rPr>
                  </w:pPr>
                </w:p>
              </w:tc>
            </w:tr>
            <w:tr w14:paraId="7F027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07" w:type="pct"/>
                  <w:shd w:val="clear" w:color="auto" w:fill="auto"/>
                  <w:noWrap/>
                  <w:vAlign w:val="center"/>
                </w:tcPr>
                <w:p w14:paraId="06C55B56">
                  <w:pPr>
                    <w:jc w:val="center"/>
                    <w:rPr>
                      <w:rFonts w:hint="eastAsia"/>
                      <w:color w:val="auto"/>
                      <w:lang w:val="en-US" w:eastAsia="zh-CN"/>
                    </w:rPr>
                  </w:pPr>
                  <w:r>
                    <w:rPr>
                      <w:rFonts w:hint="eastAsia"/>
                      <w:color w:val="auto"/>
                      <w:szCs w:val="21"/>
                      <w:lang w:val="en-US" w:eastAsia="zh-CN"/>
                    </w:rPr>
                    <w:t>5</w:t>
                  </w:r>
                </w:p>
              </w:tc>
              <w:tc>
                <w:tcPr>
                  <w:tcW w:w="968" w:type="pct"/>
                  <w:shd w:val="clear" w:color="auto" w:fill="auto"/>
                  <w:noWrap/>
                  <w:vAlign w:val="center"/>
                </w:tcPr>
                <w:p w14:paraId="5CC21BFB">
                  <w:pPr>
                    <w:jc w:val="center"/>
                    <w:rPr>
                      <w:rFonts w:hint="default" w:eastAsia="宋体"/>
                      <w:color w:val="auto"/>
                      <w:lang w:val="en-US" w:eastAsia="zh-CN"/>
                    </w:rPr>
                  </w:pPr>
                  <w:r>
                    <w:rPr>
                      <w:rFonts w:hint="eastAsia"/>
                      <w:color w:val="auto"/>
                      <w:lang w:val="en-US" w:eastAsia="zh-CN"/>
                    </w:rPr>
                    <w:t>二氧化硅</w:t>
                  </w:r>
                </w:p>
              </w:tc>
              <w:tc>
                <w:tcPr>
                  <w:tcW w:w="944" w:type="pct"/>
                  <w:shd w:val="clear" w:color="auto" w:fill="auto"/>
                  <w:noWrap/>
                  <w:vAlign w:val="center"/>
                </w:tcPr>
                <w:p w14:paraId="516CA16D">
                  <w:pPr>
                    <w:jc w:val="center"/>
                    <w:rPr>
                      <w:rFonts w:hint="default"/>
                      <w:color w:val="auto"/>
                      <w:lang w:val="en-US" w:eastAsia="zh-CN"/>
                    </w:rPr>
                  </w:pPr>
                  <w:r>
                    <w:rPr>
                      <w:rFonts w:hint="eastAsia"/>
                      <w:color w:val="auto"/>
                      <w:lang w:val="en-US" w:eastAsia="zh-CN"/>
                    </w:rPr>
                    <w:t>150</w:t>
                  </w:r>
                </w:p>
              </w:tc>
              <w:tc>
                <w:tcPr>
                  <w:tcW w:w="679" w:type="pct"/>
                  <w:vAlign w:val="center"/>
                </w:tcPr>
                <w:p w14:paraId="762723C1">
                  <w:pPr>
                    <w:jc w:val="center"/>
                    <w:rPr>
                      <w:rFonts w:hint="eastAsia"/>
                      <w:color w:val="auto"/>
                      <w:lang w:val="en-US" w:eastAsia="zh-CN"/>
                    </w:rPr>
                  </w:pPr>
                  <w:r>
                    <w:rPr>
                      <w:rFonts w:hint="eastAsia"/>
                      <w:color w:val="auto"/>
                      <w:lang w:val="en-US" w:eastAsia="zh-CN"/>
                    </w:rPr>
                    <w:t>100</w:t>
                  </w:r>
                </w:p>
              </w:tc>
              <w:tc>
                <w:tcPr>
                  <w:tcW w:w="667" w:type="pct"/>
                  <w:shd w:val="clear" w:color="auto" w:fill="FFFFFF" w:themeFill="background1"/>
                  <w:vAlign w:val="center"/>
                </w:tcPr>
                <w:p w14:paraId="140C6955">
                  <w:pPr>
                    <w:jc w:val="center"/>
                    <w:rPr>
                      <w:rFonts w:hint="eastAsia"/>
                      <w:color w:val="auto"/>
                      <w:szCs w:val="21"/>
                      <w:highlight w:val="none"/>
                      <w:lang w:val="en-US" w:eastAsia="zh-CN"/>
                    </w:rPr>
                  </w:pPr>
                  <w:r>
                    <w:rPr>
                      <w:rFonts w:hint="eastAsia"/>
                      <w:color w:val="auto"/>
                      <w:szCs w:val="21"/>
                      <w:highlight w:val="none"/>
                      <w:lang w:val="en-US" w:eastAsia="zh-CN"/>
                    </w:rPr>
                    <w:t>25kg/袋</w:t>
                  </w:r>
                </w:p>
              </w:tc>
              <w:tc>
                <w:tcPr>
                  <w:tcW w:w="668" w:type="pct"/>
                  <w:shd w:val="clear" w:color="auto" w:fill="FFFFFF" w:themeFill="background1"/>
                  <w:vAlign w:val="center"/>
                </w:tcPr>
                <w:p w14:paraId="418F6CF0">
                  <w:pPr>
                    <w:jc w:val="center"/>
                    <w:rPr>
                      <w:rFonts w:hint="default"/>
                      <w:color w:val="auto"/>
                      <w:szCs w:val="21"/>
                      <w:highlight w:val="none"/>
                      <w:lang w:val="en-US" w:eastAsia="zh-CN"/>
                    </w:rPr>
                  </w:pPr>
                  <w:r>
                    <w:rPr>
                      <w:rFonts w:hint="eastAsia"/>
                      <w:color w:val="auto"/>
                      <w:szCs w:val="21"/>
                      <w:highlight w:val="none"/>
                      <w:lang w:val="en-US" w:eastAsia="zh-CN"/>
                    </w:rPr>
                    <w:t>10um</w:t>
                  </w:r>
                </w:p>
              </w:tc>
              <w:tc>
                <w:tcPr>
                  <w:tcW w:w="663" w:type="pct"/>
                  <w:vMerge w:val="continue"/>
                  <w:vAlign w:val="center"/>
                </w:tcPr>
                <w:p w14:paraId="63E4430F">
                  <w:pPr>
                    <w:ind w:left="-153" w:leftChars="-73" w:right="-73" w:rightChars="-35"/>
                    <w:jc w:val="center"/>
                    <w:rPr>
                      <w:color w:val="auto"/>
                      <w:szCs w:val="21"/>
                    </w:rPr>
                  </w:pPr>
                </w:p>
              </w:tc>
            </w:tr>
            <w:tr w14:paraId="0158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shd w:val="clear" w:color="auto" w:fill="auto"/>
                  <w:noWrap/>
                  <w:vAlign w:val="center"/>
                </w:tcPr>
                <w:p w14:paraId="618177DF">
                  <w:pPr>
                    <w:jc w:val="center"/>
                    <w:rPr>
                      <w:color w:val="auto"/>
                      <w:szCs w:val="21"/>
                    </w:rPr>
                  </w:pPr>
                  <w:r>
                    <w:rPr>
                      <w:rFonts w:hint="eastAsia"/>
                      <w:color w:val="auto"/>
                      <w:lang w:val="en-US" w:eastAsia="zh-CN"/>
                    </w:rPr>
                    <w:t>6</w:t>
                  </w:r>
                </w:p>
              </w:tc>
              <w:tc>
                <w:tcPr>
                  <w:tcW w:w="968" w:type="pct"/>
                  <w:shd w:val="clear" w:color="auto" w:fill="auto"/>
                  <w:noWrap/>
                  <w:vAlign w:val="center"/>
                </w:tcPr>
                <w:p w14:paraId="773B41F8">
                  <w:pPr>
                    <w:jc w:val="center"/>
                    <w:rPr>
                      <w:rFonts w:hint="eastAsia" w:eastAsia="宋体"/>
                      <w:color w:val="auto"/>
                      <w:szCs w:val="21"/>
                      <w:lang w:eastAsia="zh-CN"/>
                    </w:rPr>
                  </w:pPr>
                  <w:r>
                    <w:rPr>
                      <w:rFonts w:hint="eastAsia"/>
                      <w:color w:val="auto"/>
                      <w:lang w:val="en-US" w:eastAsia="zh-CN"/>
                    </w:rPr>
                    <w:t>天然纤维</w:t>
                  </w:r>
                </w:p>
              </w:tc>
              <w:tc>
                <w:tcPr>
                  <w:tcW w:w="944" w:type="pct"/>
                  <w:shd w:val="clear" w:color="auto" w:fill="auto"/>
                  <w:noWrap/>
                  <w:vAlign w:val="center"/>
                </w:tcPr>
                <w:p w14:paraId="6EF409EC">
                  <w:pPr>
                    <w:jc w:val="center"/>
                    <w:rPr>
                      <w:rFonts w:hint="default" w:eastAsia="宋体"/>
                      <w:color w:val="auto"/>
                      <w:szCs w:val="21"/>
                      <w:lang w:val="en-US" w:eastAsia="zh-CN"/>
                    </w:rPr>
                  </w:pPr>
                  <w:r>
                    <w:rPr>
                      <w:rFonts w:hint="eastAsia"/>
                      <w:color w:val="auto"/>
                      <w:lang w:val="en-US" w:eastAsia="zh-CN"/>
                    </w:rPr>
                    <w:t>2695</w:t>
                  </w:r>
                </w:p>
              </w:tc>
              <w:tc>
                <w:tcPr>
                  <w:tcW w:w="679" w:type="pct"/>
                  <w:vAlign w:val="center"/>
                </w:tcPr>
                <w:p w14:paraId="329AAA6F">
                  <w:pPr>
                    <w:jc w:val="center"/>
                    <w:rPr>
                      <w:color w:val="auto"/>
                      <w:szCs w:val="21"/>
                    </w:rPr>
                  </w:pPr>
                  <w:r>
                    <w:rPr>
                      <w:rFonts w:hint="eastAsia"/>
                      <w:color w:val="auto"/>
                      <w:lang w:val="en-US" w:eastAsia="zh-CN"/>
                    </w:rPr>
                    <w:t>100</w:t>
                  </w:r>
                </w:p>
              </w:tc>
              <w:tc>
                <w:tcPr>
                  <w:tcW w:w="667" w:type="pct"/>
                  <w:shd w:val="clear" w:color="auto" w:fill="FFFFFF" w:themeFill="background1"/>
                  <w:vAlign w:val="center"/>
                </w:tcPr>
                <w:p w14:paraId="63BD9924">
                  <w:pPr>
                    <w:jc w:val="center"/>
                    <w:rPr>
                      <w:color w:val="auto"/>
                      <w:szCs w:val="21"/>
                      <w:highlight w:val="none"/>
                    </w:rPr>
                  </w:pPr>
                  <w:r>
                    <w:rPr>
                      <w:rFonts w:hint="eastAsia"/>
                      <w:color w:val="auto"/>
                      <w:szCs w:val="21"/>
                      <w:highlight w:val="none"/>
                      <w:lang w:val="en-US" w:eastAsia="zh-CN"/>
                    </w:rPr>
                    <w:t>25kg/袋</w:t>
                  </w:r>
                </w:p>
              </w:tc>
              <w:tc>
                <w:tcPr>
                  <w:tcW w:w="668" w:type="pct"/>
                  <w:shd w:val="clear" w:color="auto" w:fill="FFFFFF" w:themeFill="background1"/>
                  <w:vAlign w:val="center"/>
                </w:tcPr>
                <w:p w14:paraId="3DA472C4">
                  <w:pPr>
                    <w:jc w:val="center"/>
                    <w:rPr>
                      <w:rFonts w:hint="default"/>
                      <w:color w:val="auto"/>
                      <w:szCs w:val="21"/>
                      <w:highlight w:val="none"/>
                      <w:lang w:val="en-US" w:eastAsia="zh-CN"/>
                    </w:rPr>
                  </w:pPr>
                  <w:r>
                    <w:rPr>
                      <w:rFonts w:hint="eastAsia"/>
                      <w:color w:val="auto"/>
                      <w:szCs w:val="21"/>
                      <w:highlight w:val="none"/>
                      <w:lang w:val="en-US" w:eastAsia="zh-CN"/>
                    </w:rPr>
                    <w:t>5um</w:t>
                  </w:r>
                </w:p>
              </w:tc>
              <w:tc>
                <w:tcPr>
                  <w:tcW w:w="663" w:type="pct"/>
                  <w:vMerge w:val="continue"/>
                  <w:vAlign w:val="center"/>
                </w:tcPr>
                <w:p w14:paraId="45668A57">
                  <w:pPr>
                    <w:jc w:val="center"/>
                    <w:rPr>
                      <w:color w:val="auto"/>
                      <w:szCs w:val="21"/>
                    </w:rPr>
                  </w:pPr>
                </w:p>
              </w:tc>
            </w:tr>
            <w:tr w14:paraId="3BD7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shd w:val="clear" w:color="auto" w:fill="auto"/>
                  <w:noWrap/>
                  <w:vAlign w:val="center"/>
                </w:tcPr>
                <w:p w14:paraId="7FDD9D9A">
                  <w:pPr>
                    <w:jc w:val="center"/>
                    <w:rPr>
                      <w:rFonts w:hint="default"/>
                      <w:color w:val="auto"/>
                      <w:lang w:val="en-US" w:eastAsia="zh-CN"/>
                    </w:rPr>
                  </w:pPr>
                  <w:r>
                    <w:rPr>
                      <w:rFonts w:hint="eastAsia"/>
                      <w:color w:val="auto"/>
                      <w:lang w:val="en-US" w:eastAsia="zh-CN"/>
                    </w:rPr>
                    <w:t>7</w:t>
                  </w:r>
                </w:p>
              </w:tc>
              <w:tc>
                <w:tcPr>
                  <w:tcW w:w="968" w:type="pct"/>
                  <w:shd w:val="clear" w:color="auto" w:fill="auto"/>
                  <w:noWrap/>
                  <w:vAlign w:val="center"/>
                </w:tcPr>
                <w:p w14:paraId="03317349">
                  <w:pPr>
                    <w:jc w:val="center"/>
                    <w:rPr>
                      <w:rFonts w:hint="eastAsia" w:eastAsia="宋体"/>
                      <w:color w:val="auto"/>
                      <w:lang w:val="en-US" w:eastAsia="zh-CN"/>
                    </w:rPr>
                  </w:pPr>
                  <w:r>
                    <w:rPr>
                      <w:rFonts w:hint="eastAsia"/>
                      <w:color w:val="auto"/>
                      <w:lang w:val="en-US" w:eastAsia="zh-CN"/>
                    </w:rPr>
                    <w:t>填料</w:t>
                  </w:r>
                </w:p>
              </w:tc>
              <w:tc>
                <w:tcPr>
                  <w:tcW w:w="944" w:type="pct"/>
                  <w:shd w:val="clear" w:color="auto" w:fill="auto"/>
                  <w:noWrap/>
                  <w:vAlign w:val="center"/>
                </w:tcPr>
                <w:p w14:paraId="1FA08130">
                  <w:pPr>
                    <w:jc w:val="center"/>
                    <w:rPr>
                      <w:rFonts w:hint="default"/>
                      <w:color w:val="auto"/>
                      <w:lang w:val="en-US" w:eastAsia="zh-CN"/>
                    </w:rPr>
                  </w:pPr>
                  <w:r>
                    <w:rPr>
                      <w:rFonts w:hint="eastAsia"/>
                      <w:color w:val="auto"/>
                      <w:lang w:val="en-US" w:eastAsia="zh-CN"/>
                    </w:rPr>
                    <w:t>5</w:t>
                  </w:r>
                </w:p>
              </w:tc>
              <w:tc>
                <w:tcPr>
                  <w:tcW w:w="679" w:type="pct"/>
                  <w:vAlign w:val="center"/>
                </w:tcPr>
                <w:p w14:paraId="73E486EE">
                  <w:pPr>
                    <w:jc w:val="center"/>
                    <w:rPr>
                      <w:rFonts w:hint="default"/>
                      <w:color w:val="auto"/>
                      <w:lang w:val="en-US" w:eastAsia="zh-CN"/>
                    </w:rPr>
                  </w:pPr>
                  <w:r>
                    <w:rPr>
                      <w:rFonts w:hint="eastAsia"/>
                      <w:color w:val="auto"/>
                      <w:lang w:val="en-US" w:eastAsia="zh-CN"/>
                    </w:rPr>
                    <w:t>5</w:t>
                  </w:r>
                </w:p>
              </w:tc>
              <w:tc>
                <w:tcPr>
                  <w:tcW w:w="667" w:type="pct"/>
                  <w:shd w:val="clear" w:color="auto" w:fill="FFFFFF" w:themeFill="background1"/>
                  <w:vAlign w:val="center"/>
                </w:tcPr>
                <w:p w14:paraId="27849F14">
                  <w:pPr>
                    <w:jc w:val="center"/>
                    <w:rPr>
                      <w:rFonts w:hint="default"/>
                      <w:color w:val="auto"/>
                      <w:szCs w:val="21"/>
                      <w:highlight w:val="none"/>
                      <w:lang w:val="en-US" w:eastAsia="zh-CN"/>
                    </w:rPr>
                  </w:pPr>
                  <w:r>
                    <w:rPr>
                      <w:rFonts w:hint="eastAsia"/>
                      <w:color w:val="auto"/>
                      <w:szCs w:val="21"/>
                      <w:highlight w:val="none"/>
                      <w:lang w:val="en-US" w:eastAsia="zh-CN"/>
                    </w:rPr>
                    <w:t>25kg/袋</w:t>
                  </w:r>
                </w:p>
              </w:tc>
              <w:tc>
                <w:tcPr>
                  <w:tcW w:w="668" w:type="pct"/>
                  <w:shd w:val="clear" w:color="auto" w:fill="FFFFFF" w:themeFill="background1"/>
                  <w:vAlign w:val="center"/>
                </w:tcPr>
                <w:p w14:paraId="7D1992D1">
                  <w:pPr>
                    <w:jc w:val="center"/>
                    <w:rPr>
                      <w:rFonts w:hint="default"/>
                      <w:color w:val="auto"/>
                      <w:szCs w:val="21"/>
                      <w:highlight w:val="none"/>
                      <w:lang w:val="en-US" w:eastAsia="zh-CN"/>
                    </w:rPr>
                  </w:pPr>
                  <w:r>
                    <w:rPr>
                      <w:rFonts w:hint="eastAsia"/>
                      <w:color w:val="auto"/>
                      <w:szCs w:val="21"/>
                      <w:highlight w:val="none"/>
                      <w:lang w:val="en-US" w:eastAsia="zh-CN"/>
                    </w:rPr>
                    <w:t>/</w:t>
                  </w:r>
                </w:p>
              </w:tc>
              <w:tc>
                <w:tcPr>
                  <w:tcW w:w="663" w:type="pct"/>
                  <w:vMerge w:val="continue"/>
                  <w:vAlign w:val="center"/>
                </w:tcPr>
                <w:p w14:paraId="00768EAE">
                  <w:pPr>
                    <w:jc w:val="center"/>
                    <w:rPr>
                      <w:color w:val="auto"/>
                      <w:szCs w:val="21"/>
                    </w:rPr>
                  </w:pPr>
                </w:p>
              </w:tc>
            </w:tr>
            <w:tr w14:paraId="36B1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7" w:type="pct"/>
                  <w:shd w:val="clear" w:color="auto" w:fill="auto"/>
                  <w:noWrap/>
                  <w:vAlign w:val="center"/>
                </w:tcPr>
                <w:p w14:paraId="702532D9">
                  <w:pPr>
                    <w:jc w:val="center"/>
                    <w:rPr>
                      <w:rFonts w:hint="default"/>
                      <w:color w:val="auto"/>
                      <w:lang w:val="en-US" w:eastAsia="zh-CN"/>
                    </w:rPr>
                  </w:pPr>
                  <w:r>
                    <w:rPr>
                      <w:rFonts w:hint="eastAsia"/>
                      <w:color w:val="auto"/>
                      <w:lang w:val="en-US" w:eastAsia="zh-CN"/>
                    </w:rPr>
                    <w:t>8</w:t>
                  </w:r>
                </w:p>
              </w:tc>
              <w:tc>
                <w:tcPr>
                  <w:tcW w:w="968" w:type="pct"/>
                  <w:shd w:val="clear" w:color="auto" w:fill="auto"/>
                  <w:noWrap/>
                  <w:vAlign w:val="center"/>
                </w:tcPr>
                <w:p w14:paraId="1BBC837C">
                  <w:pPr>
                    <w:jc w:val="center"/>
                    <w:rPr>
                      <w:rFonts w:hint="default"/>
                      <w:color w:val="auto"/>
                      <w:lang w:val="en-US" w:eastAsia="zh-CN"/>
                    </w:rPr>
                  </w:pPr>
                  <w:r>
                    <w:rPr>
                      <w:rFonts w:hint="eastAsia"/>
                      <w:color w:val="auto"/>
                      <w:lang w:val="en-US" w:eastAsia="zh-CN"/>
                    </w:rPr>
                    <w:t>机油</w:t>
                  </w:r>
                </w:p>
              </w:tc>
              <w:tc>
                <w:tcPr>
                  <w:tcW w:w="944" w:type="pct"/>
                  <w:shd w:val="clear" w:color="auto" w:fill="auto"/>
                  <w:noWrap/>
                  <w:vAlign w:val="center"/>
                </w:tcPr>
                <w:p w14:paraId="1BCC6382">
                  <w:pPr>
                    <w:jc w:val="center"/>
                    <w:rPr>
                      <w:rFonts w:hint="default"/>
                      <w:color w:val="auto"/>
                      <w:lang w:val="en-US" w:eastAsia="zh-CN"/>
                    </w:rPr>
                  </w:pPr>
                  <w:r>
                    <w:rPr>
                      <w:rFonts w:hint="eastAsia"/>
                      <w:color w:val="auto"/>
                      <w:lang w:val="en-US" w:eastAsia="zh-CN"/>
                    </w:rPr>
                    <w:t>0.4</w:t>
                  </w:r>
                </w:p>
              </w:tc>
              <w:tc>
                <w:tcPr>
                  <w:tcW w:w="679" w:type="pct"/>
                  <w:vAlign w:val="center"/>
                </w:tcPr>
                <w:p w14:paraId="4F31FA76">
                  <w:pPr>
                    <w:jc w:val="center"/>
                    <w:rPr>
                      <w:rFonts w:hint="default"/>
                      <w:color w:val="auto"/>
                      <w:lang w:val="en-US" w:eastAsia="zh-CN"/>
                    </w:rPr>
                  </w:pPr>
                  <w:r>
                    <w:rPr>
                      <w:rFonts w:hint="eastAsia"/>
                      <w:color w:val="auto"/>
                      <w:lang w:val="en-US" w:eastAsia="zh-CN"/>
                    </w:rPr>
                    <w:t>0.4</w:t>
                  </w:r>
                </w:p>
              </w:tc>
              <w:tc>
                <w:tcPr>
                  <w:tcW w:w="667" w:type="pct"/>
                  <w:shd w:val="clear" w:color="auto" w:fill="FFFFFF" w:themeFill="background1"/>
                  <w:vAlign w:val="center"/>
                </w:tcPr>
                <w:p w14:paraId="31D2A95D">
                  <w:pPr>
                    <w:jc w:val="center"/>
                    <w:rPr>
                      <w:rFonts w:hint="default"/>
                      <w:color w:val="auto"/>
                      <w:szCs w:val="21"/>
                      <w:highlight w:val="none"/>
                      <w:lang w:val="en-US" w:eastAsia="zh-CN"/>
                    </w:rPr>
                  </w:pPr>
                  <w:r>
                    <w:rPr>
                      <w:rFonts w:hint="eastAsia"/>
                      <w:color w:val="auto"/>
                      <w:szCs w:val="21"/>
                      <w:highlight w:val="none"/>
                      <w:lang w:val="en-US" w:eastAsia="zh-CN"/>
                    </w:rPr>
                    <w:t>20kg/桶</w:t>
                  </w:r>
                </w:p>
              </w:tc>
              <w:tc>
                <w:tcPr>
                  <w:tcW w:w="668" w:type="pct"/>
                  <w:shd w:val="clear" w:color="auto" w:fill="FFFFFF" w:themeFill="background1"/>
                  <w:vAlign w:val="center"/>
                </w:tcPr>
                <w:p w14:paraId="57B3A88C">
                  <w:pPr>
                    <w:jc w:val="center"/>
                    <w:rPr>
                      <w:rFonts w:hint="default"/>
                      <w:color w:val="auto"/>
                      <w:szCs w:val="21"/>
                      <w:highlight w:val="none"/>
                      <w:lang w:val="en-US" w:eastAsia="zh-CN"/>
                    </w:rPr>
                  </w:pPr>
                  <w:r>
                    <w:rPr>
                      <w:rFonts w:hint="eastAsia"/>
                      <w:color w:val="auto"/>
                      <w:szCs w:val="21"/>
                      <w:highlight w:val="none"/>
                      <w:lang w:val="en-US" w:eastAsia="zh-CN"/>
                    </w:rPr>
                    <w:t>/</w:t>
                  </w:r>
                </w:p>
              </w:tc>
              <w:tc>
                <w:tcPr>
                  <w:tcW w:w="663" w:type="pct"/>
                  <w:vAlign w:val="center"/>
                </w:tcPr>
                <w:p w14:paraId="59F4936D">
                  <w:pPr>
                    <w:jc w:val="center"/>
                    <w:rPr>
                      <w:rFonts w:hint="default" w:eastAsia="宋体"/>
                      <w:color w:val="auto"/>
                      <w:szCs w:val="21"/>
                      <w:lang w:val="en-US" w:eastAsia="zh-CN"/>
                    </w:rPr>
                  </w:pPr>
                  <w:r>
                    <w:rPr>
                      <w:rFonts w:hint="eastAsia"/>
                      <w:color w:val="auto"/>
                      <w:szCs w:val="21"/>
                      <w:lang w:val="en-US" w:eastAsia="zh-CN"/>
                    </w:rPr>
                    <w:t>外购，放置</w:t>
                  </w:r>
                  <w:r>
                    <w:rPr>
                      <w:rFonts w:hint="eastAsia"/>
                      <w:lang w:val="en-US" w:eastAsia="zh-CN"/>
                    </w:rPr>
                    <w:t>于生产车间北侧</w:t>
                  </w:r>
                </w:p>
              </w:tc>
            </w:tr>
          </w:tbl>
          <w:p w14:paraId="10B3B32E">
            <w:pPr>
              <w:spacing w:line="500" w:lineRule="atLeast"/>
              <w:ind w:firstLine="480" w:firstLineChars="200"/>
              <w:rPr>
                <w:color w:val="auto"/>
                <w:sz w:val="24"/>
              </w:rPr>
            </w:pPr>
            <w:r>
              <w:rPr>
                <w:color w:val="auto"/>
                <w:sz w:val="24"/>
              </w:rPr>
              <w:t>主要能源消耗见下表：</w:t>
            </w:r>
          </w:p>
          <w:p w14:paraId="55C6450E">
            <w:pPr>
              <w:spacing w:after="31" w:afterLines="10"/>
              <w:ind w:firstLine="482" w:firstLineChars="200"/>
              <w:jc w:val="center"/>
              <w:rPr>
                <w:b/>
                <w:color w:val="auto"/>
                <w:sz w:val="24"/>
              </w:rPr>
            </w:pPr>
            <w:r>
              <w:rPr>
                <w:b/>
                <w:color w:val="auto"/>
                <w:sz w:val="24"/>
              </w:rPr>
              <w:t>表2-4  主要能源消耗一览表</w:t>
            </w:r>
          </w:p>
          <w:tbl>
            <w:tblPr>
              <w:tblStyle w:val="26"/>
              <w:tblW w:w="5000" w:type="pct"/>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2089"/>
              <w:gridCol w:w="2174"/>
              <w:gridCol w:w="1853"/>
            </w:tblGrid>
            <w:tr w14:paraId="4FC6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6" w:type="pct"/>
                  <w:vAlign w:val="center"/>
                </w:tcPr>
                <w:p w14:paraId="4691CCB0">
                  <w:pPr>
                    <w:jc w:val="center"/>
                    <w:rPr>
                      <w:color w:val="auto"/>
                      <w:szCs w:val="21"/>
                    </w:rPr>
                  </w:pPr>
                  <w:r>
                    <w:rPr>
                      <w:color w:val="auto"/>
                      <w:szCs w:val="21"/>
                    </w:rPr>
                    <w:t>序号</w:t>
                  </w:r>
                </w:p>
              </w:tc>
              <w:tc>
                <w:tcPr>
                  <w:tcW w:w="1337" w:type="pct"/>
                  <w:vAlign w:val="center"/>
                </w:tcPr>
                <w:p w14:paraId="4D30FF6A">
                  <w:pPr>
                    <w:jc w:val="center"/>
                    <w:rPr>
                      <w:color w:val="auto"/>
                      <w:szCs w:val="21"/>
                    </w:rPr>
                  </w:pPr>
                  <w:r>
                    <w:rPr>
                      <w:color w:val="auto"/>
                      <w:szCs w:val="21"/>
                    </w:rPr>
                    <w:t>名称</w:t>
                  </w:r>
                </w:p>
              </w:tc>
              <w:tc>
                <w:tcPr>
                  <w:tcW w:w="1391" w:type="pct"/>
                  <w:vAlign w:val="center"/>
                </w:tcPr>
                <w:p w14:paraId="71863EA6">
                  <w:pPr>
                    <w:jc w:val="center"/>
                    <w:rPr>
                      <w:color w:val="auto"/>
                      <w:szCs w:val="21"/>
                    </w:rPr>
                  </w:pPr>
                  <w:r>
                    <w:rPr>
                      <w:color w:val="auto"/>
                      <w:szCs w:val="21"/>
                    </w:rPr>
                    <w:t>用量</w:t>
                  </w:r>
                </w:p>
              </w:tc>
              <w:tc>
                <w:tcPr>
                  <w:tcW w:w="1186" w:type="pct"/>
                  <w:vAlign w:val="center"/>
                </w:tcPr>
                <w:p w14:paraId="2C99CC06">
                  <w:pPr>
                    <w:jc w:val="center"/>
                    <w:rPr>
                      <w:color w:val="auto"/>
                      <w:szCs w:val="21"/>
                    </w:rPr>
                  </w:pPr>
                  <w:r>
                    <w:rPr>
                      <w:color w:val="auto"/>
                      <w:szCs w:val="21"/>
                    </w:rPr>
                    <w:t>单位</w:t>
                  </w:r>
                </w:p>
              </w:tc>
            </w:tr>
            <w:tr w14:paraId="7897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6" w:type="pct"/>
                  <w:vAlign w:val="center"/>
                </w:tcPr>
                <w:p w14:paraId="032A0DE1">
                  <w:pPr>
                    <w:jc w:val="center"/>
                    <w:rPr>
                      <w:color w:val="auto"/>
                      <w:szCs w:val="21"/>
                    </w:rPr>
                  </w:pPr>
                  <w:r>
                    <w:rPr>
                      <w:color w:val="auto"/>
                      <w:szCs w:val="21"/>
                    </w:rPr>
                    <w:t>1</w:t>
                  </w:r>
                </w:p>
              </w:tc>
              <w:tc>
                <w:tcPr>
                  <w:tcW w:w="1337" w:type="pct"/>
                  <w:vAlign w:val="center"/>
                </w:tcPr>
                <w:p w14:paraId="0AB52BC5">
                  <w:pPr>
                    <w:jc w:val="center"/>
                    <w:rPr>
                      <w:color w:val="auto"/>
                      <w:szCs w:val="21"/>
                    </w:rPr>
                  </w:pPr>
                  <w:r>
                    <w:rPr>
                      <w:color w:val="auto"/>
                      <w:szCs w:val="21"/>
                    </w:rPr>
                    <w:t>电</w:t>
                  </w:r>
                </w:p>
              </w:tc>
              <w:tc>
                <w:tcPr>
                  <w:tcW w:w="1391" w:type="pct"/>
                  <w:vAlign w:val="center"/>
                </w:tcPr>
                <w:p w14:paraId="11CAF975">
                  <w:pPr>
                    <w:jc w:val="center"/>
                    <w:rPr>
                      <w:color w:val="auto"/>
                      <w:szCs w:val="21"/>
                    </w:rPr>
                  </w:pPr>
                  <w:r>
                    <w:rPr>
                      <w:rFonts w:hint="eastAsia"/>
                      <w:color w:val="auto"/>
                      <w:szCs w:val="21"/>
                      <w:highlight w:val="none"/>
                      <w:lang w:val="en-US" w:eastAsia="zh-CN"/>
                    </w:rPr>
                    <w:t>10</w:t>
                  </w:r>
                  <w:r>
                    <w:rPr>
                      <w:color w:val="auto"/>
                      <w:szCs w:val="21"/>
                      <w:highlight w:val="none"/>
                    </w:rPr>
                    <w:t>万</w:t>
                  </w:r>
                </w:p>
              </w:tc>
              <w:tc>
                <w:tcPr>
                  <w:tcW w:w="1186" w:type="pct"/>
                  <w:vAlign w:val="center"/>
                </w:tcPr>
                <w:p w14:paraId="3992AB43">
                  <w:pPr>
                    <w:jc w:val="center"/>
                    <w:rPr>
                      <w:color w:val="auto"/>
                      <w:szCs w:val="21"/>
                    </w:rPr>
                  </w:pPr>
                  <w:r>
                    <w:rPr>
                      <w:color w:val="auto"/>
                      <w:szCs w:val="21"/>
                    </w:rPr>
                    <w:t>kWh/a</w:t>
                  </w:r>
                </w:p>
              </w:tc>
            </w:tr>
            <w:tr w14:paraId="3D38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6" w:type="pct"/>
                  <w:vAlign w:val="center"/>
                </w:tcPr>
                <w:p w14:paraId="62CCCF52">
                  <w:pPr>
                    <w:jc w:val="center"/>
                    <w:rPr>
                      <w:color w:val="auto"/>
                      <w:szCs w:val="21"/>
                    </w:rPr>
                  </w:pPr>
                  <w:r>
                    <w:rPr>
                      <w:color w:val="auto"/>
                      <w:szCs w:val="21"/>
                    </w:rPr>
                    <w:t>2</w:t>
                  </w:r>
                </w:p>
              </w:tc>
              <w:tc>
                <w:tcPr>
                  <w:tcW w:w="1337" w:type="pct"/>
                  <w:vAlign w:val="center"/>
                </w:tcPr>
                <w:p w14:paraId="683669CF">
                  <w:pPr>
                    <w:jc w:val="center"/>
                    <w:rPr>
                      <w:color w:val="auto"/>
                      <w:szCs w:val="21"/>
                    </w:rPr>
                  </w:pPr>
                  <w:r>
                    <w:rPr>
                      <w:color w:val="auto"/>
                      <w:szCs w:val="21"/>
                    </w:rPr>
                    <w:t>水</w:t>
                  </w:r>
                </w:p>
              </w:tc>
              <w:tc>
                <w:tcPr>
                  <w:tcW w:w="1391" w:type="pct"/>
                  <w:vAlign w:val="center"/>
                </w:tcPr>
                <w:p w14:paraId="544FFD04">
                  <w:pPr>
                    <w:widowControl/>
                    <w:jc w:val="center"/>
                    <w:rPr>
                      <w:rFonts w:hint="default" w:eastAsia="宋体"/>
                      <w:color w:val="auto"/>
                      <w:kern w:val="0"/>
                      <w:sz w:val="22"/>
                      <w:szCs w:val="22"/>
                      <w:lang w:val="en-US" w:eastAsia="zh-CN"/>
                    </w:rPr>
                  </w:pPr>
                  <w:r>
                    <w:rPr>
                      <w:rFonts w:hint="eastAsia"/>
                      <w:color w:val="auto"/>
                      <w:sz w:val="22"/>
                      <w:szCs w:val="22"/>
                      <w:lang w:val="en-US" w:eastAsia="zh-CN"/>
                    </w:rPr>
                    <w:t>100</w:t>
                  </w:r>
                </w:p>
              </w:tc>
              <w:tc>
                <w:tcPr>
                  <w:tcW w:w="1186" w:type="pct"/>
                  <w:vAlign w:val="center"/>
                </w:tcPr>
                <w:p w14:paraId="34B92D3A">
                  <w:pPr>
                    <w:jc w:val="center"/>
                    <w:rPr>
                      <w:color w:val="auto"/>
                      <w:szCs w:val="21"/>
                    </w:rPr>
                  </w:pPr>
                  <w:r>
                    <w:rPr>
                      <w:rFonts w:hint="eastAsia" w:eastAsia="华文中宋"/>
                      <w:color w:val="auto"/>
                    </w:rPr>
                    <w:t>m</w:t>
                  </w:r>
                  <w:r>
                    <w:rPr>
                      <w:rFonts w:hint="eastAsia" w:eastAsia="华文中宋"/>
                      <w:color w:val="auto"/>
                      <w:vertAlign w:val="superscript"/>
                    </w:rPr>
                    <w:t>3</w:t>
                  </w:r>
                  <w:r>
                    <w:rPr>
                      <w:rFonts w:hint="eastAsia" w:eastAsia="华文中宋"/>
                      <w:color w:val="auto"/>
                    </w:rPr>
                    <w:t>/a</w:t>
                  </w:r>
                </w:p>
              </w:tc>
            </w:tr>
          </w:tbl>
          <w:p w14:paraId="7B5D5AEA">
            <w:pPr>
              <w:spacing w:line="500" w:lineRule="atLeast"/>
              <w:ind w:firstLine="482" w:firstLineChars="200"/>
              <w:rPr>
                <w:rFonts w:hint="default" w:eastAsia="宋体"/>
                <w:b/>
                <w:color w:val="auto"/>
                <w:sz w:val="24"/>
                <w:lang w:val="en-US" w:eastAsia="zh-CN"/>
              </w:rPr>
            </w:pPr>
            <w:r>
              <w:rPr>
                <w:rFonts w:hint="eastAsia"/>
                <w:b/>
                <w:color w:val="auto"/>
                <w:sz w:val="24"/>
                <w:lang w:val="en-US" w:eastAsia="zh-CN"/>
              </w:rPr>
              <w:t>主要原辅材料理化性质：</w:t>
            </w:r>
          </w:p>
          <w:p w14:paraId="3176A066">
            <w:pPr>
              <w:spacing w:line="500" w:lineRule="atLeast"/>
              <w:ind w:firstLine="440" w:firstLineChars="200"/>
              <w:rPr>
                <w:rFonts w:hint="eastAsia"/>
                <w:b w:val="0"/>
                <w:bCs/>
                <w:color w:val="auto"/>
                <w:sz w:val="22"/>
                <w:szCs w:val="22"/>
              </w:rPr>
            </w:pPr>
            <w:r>
              <w:rPr>
                <w:rFonts w:hint="eastAsia"/>
                <w:b w:val="0"/>
                <w:bCs/>
                <w:color w:val="auto"/>
                <w:sz w:val="22"/>
                <w:szCs w:val="22"/>
              </w:rPr>
              <w:t>二氧化钛：二氧化钛是一种无机物，化学式为TiO</w:t>
            </w:r>
            <w:r>
              <w:rPr>
                <w:rFonts w:hint="eastAsia"/>
                <w:b w:val="0"/>
                <w:bCs/>
                <w:color w:val="auto"/>
                <w:sz w:val="22"/>
                <w:szCs w:val="22"/>
                <w:vertAlign w:val="subscript"/>
              </w:rPr>
              <w:t>2</w:t>
            </w:r>
            <w:r>
              <w:rPr>
                <w:rFonts w:hint="eastAsia"/>
                <w:b w:val="0"/>
                <w:bCs/>
                <w:color w:val="auto"/>
                <w:sz w:val="22"/>
                <w:szCs w:val="22"/>
              </w:rPr>
              <w:t>，白色固体或粉末状的两性氧化物，分子量79.9，具有无毒、最佳的不透明性、最佳白度和光亮度，被认为是现今世界上性能最好的一种白色颜料。钛白的粘附力强，不易起化学变化，永远是雪白的。广泛应用于涂料、塑料、造纸、印刷油墨、化纤、橡胶、化妆品等工业。它的熔点很高，也被用来制造耐火玻璃，釉料，珐琅、陶土、耐高温的实验器皿等。</w:t>
            </w:r>
          </w:p>
          <w:p w14:paraId="6F890B52">
            <w:pPr>
              <w:spacing w:line="500" w:lineRule="atLeast"/>
              <w:ind w:firstLine="440" w:firstLineChars="200"/>
              <w:rPr>
                <w:rFonts w:hint="eastAsia"/>
                <w:b w:val="0"/>
                <w:bCs/>
                <w:color w:val="auto"/>
                <w:sz w:val="22"/>
                <w:szCs w:val="22"/>
              </w:rPr>
            </w:pPr>
            <w:r>
              <w:rPr>
                <w:rFonts w:hint="eastAsia"/>
                <w:b w:val="0"/>
                <w:bCs/>
                <w:color w:val="auto"/>
                <w:sz w:val="22"/>
                <w:szCs w:val="22"/>
              </w:rPr>
              <w:t>同时，二氧化钛有较好的紫外线掩蔽作用，常作为防晒剂掺入纺织纤维中，超细的二氧化钛粉末也被加入进防晒霜膏中制成防晒化妆品。</w:t>
            </w:r>
          </w:p>
          <w:p w14:paraId="3B7237C3">
            <w:pPr>
              <w:spacing w:after="0" w:afterLines="-2147483648" w:line="500" w:lineRule="atLeast"/>
              <w:ind w:firstLine="440" w:firstLineChars="200"/>
              <w:jc w:val="left"/>
              <w:rPr>
                <w:rFonts w:hint="eastAsia"/>
                <w:b w:val="0"/>
                <w:bCs/>
                <w:color w:val="auto"/>
                <w:sz w:val="22"/>
                <w:szCs w:val="22"/>
              </w:rPr>
            </w:pPr>
            <w:r>
              <w:rPr>
                <w:rFonts w:hint="eastAsia"/>
                <w:b w:val="0"/>
                <w:bCs/>
                <w:color w:val="auto"/>
                <w:sz w:val="22"/>
                <w:szCs w:val="22"/>
              </w:rPr>
              <w:t>碳酸钙粉：碳酸钙是白色微细结晶粉末，无味、无臭。有无定形和结晶两种形态。结晶型中又可分为斜方晶系和六方晶系（无水碳酸钙为无色斜方晶体，六水碳酸钙为无色单斜晶体 [10]  ），呈柱状或菱形，密度为2.93g/cm3。熔点1339℃ （825-896.6℃ 时已分解 ），10.7MPa下熔点为1289℃。难溶于醇，溶于氯化铵溶液，几乎不溶于水。</w:t>
            </w:r>
          </w:p>
          <w:p w14:paraId="7BAA57C9">
            <w:pPr>
              <w:spacing w:after="0" w:afterLines="-2147483648" w:line="500" w:lineRule="atLeast"/>
              <w:ind w:firstLine="440" w:firstLineChars="200"/>
              <w:jc w:val="left"/>
              <w:rPr>
                <w:rFonts w:hint="eastAsia"/>
                <w:b w:val="0"/>
                <w:bCs/>
                <w:color w:val="auto"/>
                <w:sz w:val="22"/>
                <w:szCs w:val="22"/>
              </w:rPr>
            </w:pPr>
            <w:r>
              <w:rPr>
                <w:rFonts w:hint="eastAsia"/>
                <w:b w:val="0"/>
                <w:bCs/>
                <w:color w:val="auto"/>
                <w:sz w:val="22"/>
                <w:szCs w:val="22"/>
                <w:lang w:val="en-US" w:eastAsia="zh-CN"/>
              </w:rPr>
              <w:t xml:space="preserve"> </w:t>
            </w:r>
            <w:r>
              <w:rPr>
                <w:rFonts w:hint="eastAsia"/>
                <w:b w:val="0"/>
                <w:bCs/>
                <w:color w:val="auto"/>
                <w:sz w:val="22"/>
                <w:szCs w:val="22"/>
              </w:rPr>
              <w:t>云母粉</w:t>
            </w:r>
            <w:r>
              <w:rPr>
                <w:rFonts w:hint="eastAsia"/>
                <w:b w:val="0"/>
                <w:bCs/>
                <w:color w:val="auto"/>
                <w:sz w:val="22"/>
                <w:szCs w:val="22"/>
                <w:lang w:eastAsia="zh-CN"/>
              </w:rPr>
              <w:t>：</w:t>
            </w:r>
            <w:r>
              <w:rPr>
                <w:rFonts w:hint="eastAsia"/>
                <w:b w:val="0"/>
                <w:bCs/>
                <w:color w:val="auto"/>
                <w:sz w:val="22"/>
                <w:szCs w:val="22"/>
              </w:rPr>
              <w:t>是一种非金属矿物，含有多种成分，其中主要有SiO2，含量一般在49%左右，Al2O3含量在30%左右。云母粉具有良好的弹性、韧性。绝缘性、耐高温、耐酸碱、耐腐蚀、附着力强等特性，是一种优良的添加剂。它广泛地应用于电器、电焊条、橡胶、塑料、造纸、油漆、涂料、颜料、陶瓷、化妆品、新型建材等行业，用途极其广泛。</w:t>
            </w:r>
          </w:p>
          <w:p w14:paraId="4A21BB70">
            <w:pPr>
              <w:spacing w:after="0" w:afterLines="-2147483648" w:line="500" w:lineRule="atLeast"/>
              <w:ind w:firstLine="440" w:firstLineChars="200"/>
              <w:jc w:val="left"/>
              <w:rPr>
                <w:rFonts w:hint="eastAsia"/>
                <w:b w:val="0"/>
                <w:bCs/>
                <w:color w:val="auto"/>
                <w:sz w:val="22"/>
                <w:szCs w:val="22"/>
              </w:rPr>
            </w:pPr>
            <w:r>
              <w:rPr>
                <w:rFonts w:hint="eastAsia"/>
                <w:b w:val="0"/>
                <w:bCs/>
                <w:color w:val="auto"/>
                <w:sz w:val="22"/>
                <w:szCs w:val="22"/>
              </w:rPr>
              <w:t>石英粉</w:t>
            </w:r>
            <w:r>
              <w:rPr>
                <w:rFonts w:hint="eastAsia"/>
                <w:b w:val="0"/>
                <w:bCs/>
                <w:color w:val="auto"/>
                <w:sz w:val="22"/>
                <w:szCs w:val="22"/>
                <w:lang w:eastAsia="zh-CN"/>
              </w:rPr>
              <w:t>：</w:t>
            </w:r>
            <w:r>
              <w:rPr>
                <w:rFonts w:hint="eastAsia"/>
                <w:b w:val="0"/>
                <w:bCs/>
                <w:color w:val="auto"/>
                <w:sz w:val="22"/>
                <w:szCs w:val="22"/>
              </w:rPr>
              <w:t>石英粉是用纯石英（天然石英或熔融石英）经破碎、拣选、清洗、酸处理、高温熔化、中碎、细磨、分级、除铁等多道工序加工而成的符合使用要求的粉体。</w:t>
            </w:r>
          </w:p>
          <w:p w14:paraId="76A05052">
            <w:pPr>
              <w:spacing w:after="0" w:afterLines="-2147483648" w:line="500" w:lineRule="atLeast"/>
              <w:ind w:firstLine="440" w:firstLineChars="200"/>
              <w:jc w:val="left"/>
              <w:rPr>
                <w:rFonts w:hint="eastAsia" w:eastAsia="宋体"/>
                <w:b w:val="0"/>
                <w:bCs/>
                <w:color w:val="auto"/>
                <w:sz w:val="22"/>
                <w:szCs w:val="22"/>
                <w:lang w:val="en-US" w:eastAsia="zh-CN"/>
              </w:rPr>
            </w:pPr>
            <w:r>
              <w:rPr>
                <w:rFonts w:hint="eastAsia"/>
                <w:b w:val="0"/>
                <w:bCs/>
                <w:color w:val="auto"/>
                <w:sz w:val="22"/>
                <w:szCs w:val="22"/>
                <w:lang w:val="en-US" w:eastAsia="zh-CN"/>
              </w:rPr>
              <w:t>二氧化硅：二氧化硅是一种无机物，化学式为SiO2，硅原子和氧原子长程有序排列形成晶态二氧化硅，短程有序或长程无序排列形成非晶态二氧化硅。二氧化硅晶体中，硅原子位于正四面体的中心，四个氧原子位于正四面体的四个顶角上，许多个这样的四面体又通过顶角的氧原子相连，每个氧原子为两个四面体共有，即每个氧原子与两个硅原子相结合。二氧化硅的最简式是SiO2，但SiO</w:t>
            </w:r>
            <w:r>
              <w:rPr>
                <w:rFonts w:hint="eastAsia"/>
                <w:b w:val="0"/>
                <w:bCs/>
                <w:color w:val="auto"/>
                <w:sz w:val="22"/>
                <w:szCs w:val="22"/>
                <w:vertAlign w:val="subscript"/>
                <w:lang w:val="en-US" w:eastAsia="zh-CN"/>
              </w:rPr>
              <w:t>2</w:t>
            </w:r>
            <w:r>
              <w:rPr>
                <w:rFonts w:hint="eastAsia"/>
                <w:b w:val="0"/>
                <w:bCs/>
                <w:color w:val="auto"/>
                <w:sz w:val="22"/>
                <w:szCs w:val="22"/>
                <w:lang w:val="en-US" w:eastAsia="zh-CN"/>
              </w:rPr>
              <w:t>不代表一个简单分子（仅表示二氧化硅晶体中硅和氧的原子个数之比）。纯净的天然二氧化硅晶体，是一种坚硬、脆性、不溶的无色透明的固体，常用于制造光学仪器等.</w:t>
            </w:r>
          </w:p>
          <w:p w14:paraId="730F467D">
            <w:pPr>
              <w:spacing w:after="0" w:afterLines="-2147483648" w:line="500" w:lineRule="atLeast"/>
              <w:ind w:firstLine="480" w:firstLineChars="200"/>
              <w:jc w:val="left"/>
              <w:rPr>
                <w:rFonts w:hint="eastAsia" w:ascii="宋体" w:hAnsi="宋体" w:eastAsia="宋体" w:cs="宋体"/>
                <w:b/>
                <w:color w:val="auto"/>
                <w:sz w:val="24"/>
              </w:rPr>
            </w:pPr>
            <w:r>
              <w:rPr>
                <w:rFonts w:hint="eastAsia" w:ascii="宋体" w:hAnsi="宋体" w:eastAsia="宋体" w:cs="宋体"/>
                <w:b w:val="0"/>
                <w:bCs/>
                <w:color w:val="auto"/>
                <w:sz w:val="24"/>
                <w:szCs w:val="24"/>
                <w:lang w:val="en-US" w:eastAsia="zh-CN"/>
              </w:rPr>
              <w:t>纤维：本项目所使用纤维主要为外购天然纤维。</w:t>
            </w:r>
            <w:r>
              <w:rPr>
                <w:rFonts w:hint="eastAsia" w:ascii="宋体" w:hAnsi="宋体" w:eastAsia="宋体" w:cs="宋体"/>
                <w:sz w:val="24"/>
              </w:rPr>
              <w:t>主要组成物质是蛋白质，又称为天然蛋白质纤维。</w:t>
            </w:r>
            <w:r>
              <w:rPr>
                <w:rFonts w:hint="eastAsia" w:ascii="宋体" w:hAnsi="宋体" w:eastAsia="宋体" w:cs="宋体"/>
                <w:b w:val="0"/>
                <w:bCs/>
                <w:color w:val="auto"/>
                <w:sz w:val="24"/>
                <w:szCs w:val="24"/>
              </w:rPr>
              <w:t>是指由连续或不连续的细丝组成的物质。在动植物体内，纤维在维系组织方面起到重要作用。纤维用途广泛，可织成细线、线头和麻绳，造纸或织毡时还可以织成纤维层；同时也常用来制造其他物料，及与其他物料共同组成复合材料</w:t>
            </w:r>
            <w:r>
              <w:rPr>
                <w:rFonts w:hint="eastAsia" w:ascii="宋体" w:hAnsi="宋体" w:eastAsia="宋体" w:cs="宋体"/>
                <w:b/>
                <w:color w:val="auto"/>
                <w:sz w:val="24"/>
              </w:rPr>
              <w:t>。</w:t>
            </w:r>
          </w:p>
          <w:p w14:paraId="39723B48">
            <w:pPr>
              <w:spacing w:line="500" w:lineRule="atLeast"/>
              <w:ind w:firstLine="482" w:firstLineChars="200"/>
              <w:rPr>
                <w:b/>
                <w:snapToGrid w:val="0"/>
                <w:color w:val="auto"/>
                <w:kern w:val="28"/>
                <w:sz w:val="24"/>
              </w:rPr>
            </w:pPr>
            <w:r>
              <w:rPr>
                <w:rFonts w:hint="eastAsia"/>
                <w:b/>
                <w:snapToGrid w:val="0"/>
                <w:color w:val="auto"/>
                <w:kern w:val="28"/>
                <w:sz w:val="24"/>
              </w:rPr>
              <w:t>五</w:t>
            </w:r>
            <w:r>
              <w:rPr>
                <w:b/>
                <w:snapToGrid w:val="0"/>
                <w:color w:val="auto"/>
                <w:kern w:val="28"/>
                <w:sz w:val="24"/>
              </w:rPr>
              <w:t>、产品方案</w:t>
            </w:r>
          </w:p>
          <w:p w14:paraId="1B515EBA">
            <w:pPr>
              <w:snapToGrid w:val="0"/>
              <w:spacing w:line="500" w:lineRule="exact"/>
              <w:ind w:firstLine="480" w:firstLineChars="200"/>
              <w:rPr>
                <w:snapToGrid w:val="0"/>
                <w:color w:val="auto"/>
                <w:kern w:val="0"/>
                <w:sz w:val="24"/>
              </w:rPr>
            </w:pPr>
            <w:r>
              <w:rPr>
                <w:snapToGrid w:val="0"/>
                <w:color w:val="auto"/>
                <w:kern w:val="0"/>
                <w:sz w:val="24"/>
              </w:rPr>
              <w:t>本项目</w:t>
            </w:r>
            <w:r>
              <w:rPr>
                <w:rFonts w:hint="eastAsia"/>
                <w:snapToGrid w:val="0"/>
                <w:color w:val="auto"/>
                <w:kern w:val="0"/>
                <w:sz w:val="24"/>
                <w:lang w:val="en-US" w:eastAsia="zh-CN"/>
              </w:rPr>
              <w:t>主要产品见表2-6</w:t>
            </w:r>
            <w:r>
              <w:rPr>
                <w:rFonts w:hint="eastAsia"/>
                <w:snapToGrid w:val="0"/>
                <w:color w:val="auto"/>
                <w:kern w:val="0"/>
                <w:sz w:val="24"/>
              </w:rPr>
              <w:t>。</w:t>
            </w:r>
          </w:p>
          <w:p w14:paraId="21A78779">
            <w:pPr>
              <w:spacing w:after="31" w:afterLines="10" w:line="500" w:lineRule="exact"/>
              <w:ind w:firstLine="482" w:firstLineChars="200"/>
              <w:jc w:val="center"/>
              <w:rPr>
                <w:b/>
                <w:color w:val="auto"/>
                <w:sz w:val="24"/>
              </w:rPr>
            </w:pPr>
            <w:r>
              <w:rPr>
                <w:b/>
                <w:color w:val="auto"/>
                <w:sz w:val="24"/>
              </w:rPr>
              <w:t>表2-6  产品方案</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567"/>
              <w:gridCol w:w="1020"/>
              <w:gridCol w:w="1567"/>
              <w:gridCol w:w="2870"/>
            </w:tblGrid>
            <w:tr w14:paraId="3AE0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3" w:type="pct"/>
                  <w:vAlign w:val="center"/>
                </w:tcPr>
                <w:p w14:paraId="399621B5">
                  <w:pPr>
                    <w:jc w:val="center"/>
                    <w:rPr>
                      <w:color w:val="auto"/>
                      <w:szCs w:val="21"/>
                    </w:rPr>
                  </w:pPr>
                  <w:r>
                    <w:rPr>
                      <w:color w:val="auto"/>
                      <w:szCs w:val="21"/>
                    </w:rPr>
                    <w:t>序号</w:t>
                  </w:r>
                </w:p>
              </w:tc>
              <w:tc>
                <w:tcPr>
                  <w:tcW w:w="1003" w:type="pct"/>
                  <w:vAlign w:val="center"/>
                </w:tcPr>
                <w:p w14:paraId="3E29F58C">
                  <w:pPr>
                    <w:jc w:val="center"/>
                    <w:rPr>
                      <w:color w:val="auto"/>
                      <w:szCs w:val="21"/>
                    </w:rPr>
                  </w:pPr>
                  <w:r>
                    <w:rPr>
                      <w:color w:val="auto"/>
                      <w:szCs w:val="21"/>
                    </w:rPr>
                    <w:t>名称</w:t>
                  </w:r>
                </w:p>
              </w:tc>
              <w:tc>
                <w:tcPr>
                  <w:tcW w:w="653" w:type="pct"/>
                </w:tcPr>
                <w:p w14:paraId="780D9804">
                  <w:pPr>
                    <w:jc w:val="center"/>
                    <w:rPr>
                      <w:color w:val="auto"/>
                      <w:szCs w:val="21"/>
                    </w:rPr>
                  </w:pPr>
                  <w:r>
                    <w:rPr>
                      <w:color w:val="auto"/>
                      <w:szCs w:val="21"/>
                    </w:rPr>
                    <w:t>型号</w:t>
                  </w:r>
                </w:p>
              </w:tc>
              <w:tc>
                <w:tcPr>
                  <w:tcW w:w="1003" w:type="pct"/>
                  <w:vAlign w:val="center"/>
                </w:tcPr>
                <w:p w14:paraId="07CC1B09">
                  <w:pPr>
                    <w:jc w:val="center"/>
                    <w:rPr>
                      <w:color w:val="auto"/>
                      <w:szCs w:val="21"/>
                    </w:rPr>
                  </w:pPr>
                  <w:r>
                    <w:rPr>
                      <w:color w:val="auto"/>
                      <w:szCs w:val="21"/>
                    </w:rPr>
                    <w:t>数量（</w:t>
                  </w:r>
                  <w:r>
                    <w:rPr>
                      <w:rFonts w:hint="eastAsia"/>
                      <w:color w:val="auto"/>
                      <w:szCs w:val="21"/>
                      <w:lang w:val="en-US" w:eastAsia="zh-CN"/>
                    </w:rPr>
                    <w:t>t</w:t>
                  </w:r>
                  <w:r>
                    <w:rPr>
                      <w:color w:val="auto"/>
                      <w:szCs w:val="21"/>
                    </w:rPr>
                    <w:t>/a）</w:t>
                  </w:r>
                </w:p>
              </w:tc>
              <w:tc>
                <w:tcPr>
                  <w:tcW w:w="1837" w:type="pct"/>
                  <w:vAlign w:val="center"/>
                </w:tcPr>
                <w:p w14:paraId="648904DC">
                  <w:pPr>
                    <w:jc w:val="center"/>
                    <w:rPr>
                      <w:rFonts w:hint="eastAsia" w:eastAsia="宋体"/>
                      <w:color w:val="auto"/>
                      <w:szCs w:val="21"/>
                      <w:lang w:val="en-US" w:eastAsia="zh-CN"/>
                    </w:rPr>
                  </w:pPr>
                  <w:r>
                    <w:rPr>
                      <w:rFonts w:hint="eastAsia"/>
                      <w:color w:val="auto"/>
                      <w:szCs w:val="21"/>
                      <w:lang w:val="en-US" w:eastAsia="zh-CN"/>
                    </w:rPr>
                    <w:t>执行标准（企业标准）</w:t>
                  </w:r>
                </w:p>
              </w:tc>
            </w:tr>
            <w:tr w14:paraId="20F2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pct"/>
                  <w:vAlign w:val="center"/>
                </w:tcPr>
                <w:p w14:paraId="42B6B8D9">
                  <w:pPr>
                    <w:jc w:val="center"/>
                    <w:rPr>
                      <w:color w:val="auto"/>
                      <w:szCs w:val="21"/>
                    </w:rPr>
                  </w:pPr>
                  <w:r>
                    <w:rPr>
                      <w:color w:val="auto"/>
                      <w:szCs w:val="21"/>
                    </w:rPr>
                    <w:t>1</w:t>
                  </w:r>
                </w:p>
              </w:tc>
              <w:tc>
                <w:tcPr>
                  <w:tcW w:w="1003" w:type="pct"/>
                  <w:vAlign w:val="center"/>
                </w:tcPr>
                <w:p w14:paraId="70D3B218">
                  <w:pPr>
                    <w:jc w:val="center"/>
                    <w:rPr>
                      <w:rFonts w:hint="eastAsia" w:eastAsia="宋体"/>
                      <w:color w:val="auto"/>
                      <w:szCs w:val="21"/>
                      <w:lang w:eastAsia="zh-CN"/>
                    </w:rPr>
                  </w:pPr>
                  <w:r>
                    <w:rPr>
                      <w:rFonts w:hint="eastAsia"/>
                      <w:color w:val="auto"/>
                      <w:lang w:val="en-US" w:eastAsia="zh-CN"/>
                    </w:rPr>
                    <w:t>瓷白粉</w:t>
                  </w:r>
                </w:p>
              </w:tc>
              <w:tc>
                <w:tcPr>
                  <w:tcW w:w="653" w:type="pct"/>
                  <w:vAlign w:val="center"/>
                </w:tcPr>
                <w:p w14:paraId="56A7167C">
                  <w:pPr>
                    <w:jc w:val="center"/>
                    <w:rPr>
                      <w:rFonts w:hint="default" w:eastAsia="宋体"/>
                      <w:color w:val="auto"/>
                      <w:szCs w:val="21"/>
                      <w:lang w:val="en-US" w:eastAsia="zh-CN"/>
                    </w:rPr>
                  </w:pPr>
                  <w:r>
                    <w:rPr>
                      <w:rFonts w:hint="eastAsia"/>
                      <w:color w:val="auto"/>
                      <w:lang w:val="en-US" w:eastAsia="zh-CN"/>
                    </w:rPr>
                    <w:t>R916</w:t>
                  </w:r>
                </w:p>
              </w:tc>
              <w:tc>
                <w:tcPr>
                  <w:tcW w:w="1003" w:type="pct"/>
                  <w:vAlign w:val="center"/>
                </w:tcPr>
                <w:p w14:paraId="0DCAAA92">
                  <w:pPr>
                    <w:jc w:val="center"/>
                    <w:rPr>
                      <w:rFonts w:hint="default" w:eastAsia="宋体"/>
                      <w:color w:val="auto"/>
                      <w:szCs w:val="21"/>
                      <w:lang w:val="en-US" w:eastAsia="zh-CN"/>
                    </w:rPr>
                  </w:pPr>
                  <w:r>
                    <w:rPr>
                      <w:rFonts w:hint="eastAsia"/>
                      <w:color w:val="auto"/>
                      <w:lang w:val="en-US" w:eastAsia="zh-CN"/>
                    </w:rPr>
                    <w:t>800</w:t>
                  </w:r>
                </w:p>
              </w:tc>
              <w:tc>
                <w:tcPr>
                  <w:tcW w:w="1837" w:type="pct"/>
                  <w:vMerge w:val="restart"/>
                  <w:vAlign w:val="center"/>
                </w:tcPr>
                <w:p w14:paraId="58FB8AC2">
                  <w:pPr>
                    <w:jc w:val="center"/>
                    <w:rPr>
                      <w:rFonts w:hint="eastAsia"/>
                      <w:color w:val="auto"/>
                      <w:lang w:val="en-US" w:eastAsia="zh-CN"/>
                    </w:rPr>
                  </w:pPr>
                  <w:r>
                    <w:rPr>
                      <w:rFonts w:hint="eastAsia"/>
                      <w:color w:val="auto"/>
                      <w:lang w:val="en-US" w:eastAsia="zh-CN"/>
                    </w:rPr>
                    <w:t>Q/340302AHZJ</w:t>
                  </w:r>
                </w:p>
              </w:tc>
            </w:tr>
            <w:tr w14:paraId="0A6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pct"/>
                  <w:vAlign w:val="center"/>
                </w:tcPr>
                <w:p w14:paraId="397E5C41">
                  <w:pPr>
                    <w:jc w:val="center"/>
                    <w:rPr>
                      <w:rFonts w:hint="eastAsia" w:eastAsia="宋体"/>
                      <w:color w:val="auto"/>
                      <w:szCs w:val="21"/>
                      <w:lang w:val="en-US" w:eastAsia="zh-CN"/>
                    </w:rPr>
                  </w:pPr>
                  <w:r>
                    <w:rPr>
                      <w:rFonts w:hint="eastAsia"/>
                      <w:color w:val="auto"/>
                      <w:szCs w:val="21"/>
                      <w:lang w:val="en-US" w:eastAsia="zh-CN"/>
                    </w:rPr>
                    <w:t>2</w:t>
                  </w:r>
                </w:p>
              </w:tc>
              <w:tc>
                <w:tcPr>
                  <w:tcW w:w="1003" w:type="pct"/>
                  <w:vAlign w:val="center"/>
                </w:tcPr>
                <w:p w14:paraId="28ABDBD0">
                  <w:pPr>
                    <w:jc w:val="center"/>
                    <w:rPr>
                      <w:rFonts w:hint="default" w:eastAsia="宋体"/>
                      <w:color w:val="auto"/>
                      <w:szCs w:val="21"/>
                      <w:lang w:val="en-US" w:eastAsia="zh-CN"/>
                    </w:rPr>
                  </w:pPr>
                  <w:r>
                    <w:rPr>
                      <w:rFonts w:hint="eastAsia"/>
                      <w:color w:val="auto"/>
                      <w:szCs w:val="21"/>
                      <w:lang w:val="en-US" w:eastAsia="zh-CN"/>
                    </w:rPr>
                    <w:t>球形硅粉</w:t>
                  </w:r>
                </w:p>
              </w:tc>
              <w:tc>
                <w:tcPr>
                  <w:tcW w:w="653" w:type="pct"/>
                  <w:vAlign w:val="center"/>
                </w:tcPr>
                <w:p w14:paraId="0D2787D1">
                  <w:pPr>
                    <w:jc w:val="center"/>
                    <w:rPr>
                      <w:rFonts w:hint="default" w:eastAsia="宋体"/>
                      <w:color w:val="auto"/>
                      <w:szCs w:val="21"/>
                      <w:lang w:val="en-US" w:eastAsia="zh-CN"/>
                    </w:rPr>
                  </w:pPr>
                  <w:r>
                    <w:rPr>
                      <w:rFonts w:hint="eastAsia"/>
                      <w:color w:val="auto"/>
                      <w:lang w:val="en-US" w:eastAsia="zh-CN"/>
                    </w:rPr>
                    <w:t>7710</w:t>
                  </w:r>
                </w:p>
              </w:tc>
              <w:tc>
                <w:tcPr>
                  <w:tcW w:w="1003" w:type="pct"/>
                  <w:vAlign w:val="center"/>
                </w:tcPr>
                <w:p w14:paraId="2379F292">
                  <w:pPr>
                    <w:jc w:val="center"/>
                    <w:rPr>
                      <w:rFonts w:hint="default" w:eastAsia="宋体"/>
                      <w:color w:val="auto"/>
                      <w:szCs w:val="21"/>
                      <w:lang w:val="en-US" w:eastAsia="zh-CN"/>
                    </w:rPr>
                  </w:pPr>
                  <w:r>
                    <w:rPr>
                      <w:rFonts w:hint="eastAsia"/>
                      <w:color w:val="auto"/>
                      <w:lang w:val="en-US" w:eastAsia="zh-CN"/>
                    </w:rPr>
                    <w:t>200</w:t>
                  </w:r>
                </w:p>
              </w:tc>
              <w:tc>
                <w:tcPr>
                  <w:tcW w:w="1837" w:type="pct"/>
                  <w:vMerge w:val="continue"/>
                  <w:vAlign w:val="center"/>
                </w:tcPr>
                <w:p w14:paraId="2FB7C86A">
                  <w:pPr>
                    <w:jc w:val="center"/>
                    <w:rPr>
                      <w:rFonts w:hint="eastAsia"/>
                      <w:color w:val="auto"/>
                      <w:lang w:val="en-US" w:eastAsia="zh-CN"/>
                    </w:rPr>
                  </w:pPr>
                </w:p>
              </w:tc>
            </w:tr>
            <w:tr w14:paraId="043D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pct"/>
                  <w:vAlign w:val="center"/>
                </w:tcPr>
                <w:p w14:paraId="7513E0C2">
                  <w:pPr>
                    <w:jc w:val="center"/>
                    <w:rPr>
                      <w:rFonts w:hint="eastAsia" w:eastAsia="宋体"/>
                      <w:color w:val="auto"/>
                      <w:szCs w:val="21"/>
                      <w:lang w:val="en-US" w:eastAsia="zh-CN"/>
                    </w:rPr>
                  </w:pPr>
                  <w:r>
                    <w:rPr>
                      <w:rFonts w:hint="eastAsia"/>
                      <w:color w:val="auto"/>
                      <w:szCs w:val="21"/>
                      <w:lang w:val="en-US" w:eastAsia="zh-CN"/>
                    </w:rPr>
                    <w:t>3</w:t>
                  </w:r>
                </w:p>
              </w:tc>
              <w:tc>
                <w:tcPr>
                  <w:tcW w:w="1003" w:type="pct"/>
                  <w:vAlign w:val="center"/>
                </w:tcPr>
                <w:p w14:paraId="0B407F1F">
                  <w:pPr>
                    <w:jc w:val="center"/>
                    <w:rPr>
                      <w:rFonts w:hint="default" w:eastAsia="宋体"/>
                      <w:color w:val="auto"/>
                      <w:szCs w:val="21"/>
                      <w:lang w:val="en-US" w:eastAsia="zh-CN"/>
                    </w:rPr>
                  </w:pPr>
                  <w:r>
                    <w:rPr>
                      <w:rFonts w:hint="eastAsia"/>
                      <w:color w:val="auto"/>
                      <w:szCs w:val="21"/>
                      <w:lang w:val="en-US" w:eastAsia="zh-CN"/>
                    </w:rPr>
                    <w:t>优宝纤维</w:t>
                  </w:r>
                </w:p>
              </w:tc>
              <w:tc>
                <w:tcPr>
                  <w:tcW w:w="653" w:type="pct"/>
                  <w:vAlign w:val="center"/>
                </w:tcPr>
                <w:p w14:paraId="7D96ECAA">
                  <w:pPr>
                    <w:jc w:val="center"/>
                    <w:rPr>
                      <w:rFonts w:hint="default" w:eastAsia="宋体"/>
                      <w:color w:val="auto"/>
                      <w:szCs w:val="21"/>
                      <w:lang w:val="en-US" w:eastAsia="zh-CN"/>
                    </w:rPr>
                  </w:pPr>
                  <w:r>
                    <w:rPr>
                      <w:rFonts w:hint="eastAsia"/>
                      <w:color w:val="auto"/>
                      <w:lang w:val="en-US" w:eastAsia="zh-CN"/>
                    </w:rPr>
                    <w:t>1301</w:t>
                  </w:r>
                </w:p>
              </w:tc>
              <w:tc>
                <w:tcPr>
                  <w:tcW w:w="1003" w:type="pct"/>
                  <w:vAlign w:val="center"/>
                </w:tcPr>
                <w:p w14:paraId="7AB161D4">
                  <w:pPr>
                    <w:jc w:val="center"/>
                    <w:rPr>
                      <w:rFonts w:hint="default" w:eastAsia="宋体"/>
                      <w:color w:val="auto"/>
                      <w:szCs w:val="21"/>
                      <w:lang w:val="en-US" w:eastAsia="zh-CN"/>
                    </w:rPr>
                  </w:pPr>
                  <w:r>
                    <w:rPr>
                      <w:rFonts w:hint="eastAsia"/>
                      <w:color w:val="auto"/>
                      <w:lang w:val="en-US" w:eastAsia="zh-CN"/>
                    </w:rPr>
                    <w:t>2000</w:t>
                  </w:r>
                </w:p>
              </w:tc>
              <w:tc>
                <w:tcPr>
                  <w:tcW w:w="1837" w:type="pct"/>
                  <w:vMerge w:val="continue"/>
                  <w:vAlign w:val="center"/>
                </w:tcPr>
                <w:p w14:paraId="19A6A149">
                  <w:pPr>
                    <w:jc w:val="center"/>
                    <w:rPr>
                      <w:rFonts w:hint="eastAsia"/>
                      <w:color w:val="auto"/>
                      <w:lang w:val="en-US" w:eastAsia="zh-CN"/>
                    </w:rPr>
                  </w:pPr>
                </w:p>
              </w:tc>
            </w:tr>
            <w:tr w14:paraId="02C1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pct"/>
                  <w:vAlign w:val="center"/>
                </w:tcPr>
                <w:p w14:paraId="5D3D08E9">
                  <w:pPr>
                    <w:jc w:val="center"/>
                    <w:rPr>
                      <w:rFonts w:hint="eastAsia" w:eastAsia="宋体"/>
                      <w:color w:val="auto"/>
                      <w:szCs w:val="21"/>
                      <w:lang w:eastAsia="zh-CN"/>
                    </w:rPr>
                  </w:pPr>
                  <w:r>
                    <w:rPr>
                      <w:rFonts w:hint="eastAsia"/>
                      <w:color w:val="auto"/>
                      <w:szCs w:val="21"/>
                      <w:lang w:val="en-US" w:eastAsia="zh-CN"/>
                    </w:rPr>
                    <w:t>4</w:t>
                  </w:r>
                </w:p>
              </w:tc>
              <w:tc>
                <w:tcPr>
                  <w:tcW w:w="1003" w:type="pct"/>
                  <w:vAlign w:val="center"/>
                </w:tcPr>
                <w:p w14:paraId="6ED149F9">
                  <w:pPr>
                    <w:jc w:val="center"/>
                    <w:rPr>
                      <w:rFonts w:hint="default" w:eastAsia="宋体"/>
                      <w:color w:val="auto"/>
                      <w:szCs w:val="21"/>
                      <w:lang w:val="en-US" w:eastAsia="zh-CN"/>
                    </w:rPr>
                  </w:pPr>
                  <w:r>
                    <w:rPr>
                      <w:rFonts w:hint="eastAsia"/>
                      <w:color w:val="auto"/>
                      <w:lang w:val="en-US" w:eastAsia="zh-CN"/>
                    </w:rPr>
                    <w:t>复合材料</w:t>
                  </w:r>
                </w:p>
              </w:tc>
              <w:tc>
                <w:tcPr>
                  <w:tcW w:w="653" w:type="pct"/>
                  <w:vAlign w:val="center"/>
                </w:tcPr>
                <w:p w14:paraId="6B2C360B">
                  <w:pPr>
                    <w:jc w:val="center"/>
                    <w:rPr>
                      <w:rFonts w:hint="default" w:eastAsia="宋体"/>
                      <w:color w:val="auto"/>
                      <w:szCs w:val="21"/>
                      <w:lang w:val="en-US" w:eastAsia="zh-CN"/>
                    </w:rPr>
                  </w:pPr>
                  <w:r>
                    <w:rPr>
                      <w:rFonts w:hint="eastAsia"/>
                      <w:color w:val="auto"/>
                      <w:lang w:val="en-US" w:eastAsia="zh-CN"/>
                    </w:rPr>
                    <w:t>5710</w:t>
                  </w:r>
                </w:p>
              </w:tc>
              <w:tc>
                <w:tcPr>
                  <w:tcW w:w="1003" w:type="pct"/>
                  <w:vAlign w:val="center"/>
                </w:tcPr>
                <w:p w14:paraId="0C92F93F">
                  <w:pPr>
                    <w:jc w:val="center"/>
                    <w:rPr>
                      <w:rFonts w:hint="default" w:eastAsia="宋体"/>
                      <w:color w:val="auto"/>
                      <w:szCs w:val="21"/>
                      <w:lang w:val="en-US" w:eastAsia="zh-CN"/>
                    </w:rPr>
                  </w:pPr>
                  <w:r>
                    <w:rPr>
                      <w:rFonts w:hint="eastAsia"/>
                      <w:color w:val="auto"/>
                      <w:lang w:val="en-US" w:eastAsia="zh-CN"/>
                    </w:rPr>
                    <w:t>1500</w:t>
                  </w:r>
                </w:p>
              </w:tc>
              <w:tc>
                <w:tcPr>
                  <w:tcW w:w="1837" w:type="pct"/>
                  <w:vMerge w:val="continue"/>
                  <w:vAlign w:val="center"/>
                </w:tcPr>
                <w:p w14:paraId="40E0AA94">
                  <w:pPr>
                    <w:jc w:val="center"/>
                    <w:rPr>
                      <w:rFonts w:hint="eastAsia"/>
                      <w:color w:val="auto"/>
                      <w:lang w:val="en-US" w:eastAsia="zh-CN"/>
                    </w:rPr>
                  </w:pPr>
                </w:p>
              </w:tc>
            </w:tr>
            <w:tr w14:paraId="5CDB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3" w:type="pct"/>
                  <w:vAlign w:val="center"/>
                </w:tcPr>
                <w:p w14:paraId="38214467">
                  <w:pPr>
                    <w:jc w:val="center"/>
                    <w:rPr>
                      <w:rFonts w:hint="eastAsia" w:eastAsia="宋体"/>
                      <w:color w:val="auto"/>
                      <w:szCs w:val="21"/>
                      <w:lang w:eastAsia="zh-CN"/>
                    </w:rPr>
                  </w:pPr>
                  <w:r>
                    <w:rPr>
                      <w:rFonts w:hint="eastAsia"/>
                      <w:color w:val="auto"/>
                      <w:szCs w:val="21"/>
                      <w:lang w:val="en-US" w:eastAsia="zh-CN"/>
                    </w:rPr>
                    <w:t>5</w:t>
                  </w:r>
                </w:p>
              </w:tc>
              <w:tc>
                <w:tcPr>
                  <w:tcW w:w="1003" w:type="pct"/>
                  <w:vAlign w:val="center"/>
                </w:tcPr>
                <w:p w14:paraId="5FB0E53E">
                  <w:pPr>
                    <w:jc w:val="center"/>
                    <w:rPr>
                      <w:rFonts w:hint="default" w:eastAsia="宋体"/>
                      <w:color w:val="auto"/>
                      <w:szCs w:val="21"/>
                      <w:lang w:val="en-US" w:eastAsia="zh-CN"/>
                    </w:rPr>
                  </w:pPr>
                  <w:r>
                    <w:rPr>
                      <w:rFonts w:hint="eastAsia"/>
                      <w:color w:val="auto"/>
                      <w:lang w:val="en-US" w:eastAsia="zh-CN"/>
                    </w:rPr>
                    <w:t>纳米氧化钛（二氧化钛颜料）</w:t>
                  </w:r>
                </w:p>
              </w:tc>
              <w:tc>
                <w:tcPr>
                  <w:tcW w:w="653" w:type="pct"/>
                  <w:vAlign w:val="center"/>
                </w:tcPr>
                <w:p w14:paraId="5C380467">
                  <w:pPr>
                    <w:jc w:val="center"/>
                    <w:rPr>
                      <w:rFonts w:hint="default"/>
                      <w:color w:val="auto"/>
                      <w:szCs w:val="21"/>
                      <w:lang w:val="en-US"/>
                    </w:rPr>
                  </w:pPr>
                  <w:r>
                    <w:rPr>
                      <w:rFonts w:hint="eastAsia"/>
                      <w:color w:val="auto"/>
                      <w:lang w:val="en-US" w:eastAsia="zh-CN"/>
                    </w:rPr>
                    <w:t>N-5</w:t>
                  </w:r>
                </w:p>
              </w:tc>
              <w:tc>
                <w:tcPr>
                  <w:tcW w:w="1003" w:type="pct"/>
                  <w:vAlign w:val="center"/>
                </w:tcPr>
                <w:p w14:paraId="20862CF8">
                  <w:pPr>
                    <w:jc w:val="center"/>
                    <w:rPr>
                      <w:rFonts w:hint="default" w:eastAsia="宋体"/>
                      <w:color w:val="auto"/>
                      <w:szCs w:val="21"/>
                      <w:lang w:val="en-US" w:eastAsia="zh-CN"/>
                    </w:rPr>
                  </w:pPr>
                  <w:r>
                    <w:rPr>
                      <w:rFonts w:hint="eastAsia"/>
                      <w:color w:val="auto"/>
                      <w:lang w:val="en-US" w:eastAsia="zh-CN"/>
                    </w:rPr>
                    <w:t>200</w:t>
                  </w:r>
                </w:p>
              </w:tc>
              <w:tc>
                <w:tcPr>
                  <w:tcW w:w="1837" w:type="pct"/>
                  <w:vMerge w:val="continue"/>
                  <w:vAlign w:val="center"/>
                </w:tcPr>
                <w:p w14:paraId="01BE2365">
                  <w:pPr>
                    <w:jc w:val="center"/>
                    <w:rPr>
                      <w:rFonts w:hint="eastAsia"/>
                      <w:color w:val="auto"/>
                      <w:lang w:val="en-US" w:eastAsia="zh-CN"/>
                    </w:rPr>
                  </w:pPr>
                </w:p>
              </w:tc>
            </w:tr>
            <w:tr w14:paraId="029F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pct"/>
                  <w:vAlign w:val="center"/>
                </w:tcPr>
                <w:p w14:paraId="3E6E3196">
                  <w:pPr>
                    <w:jc w:val="center"/>
                    <w:rPr>
                      <w:rFonts w:hint="eastAsia" w:eastAsia="宋体"/>
                      <w:color w:val="auto"/>
                      <w:szCs w:val="21"/>
                      <w:lang w:val="en-US" w:eastAsia="zh-CN"/>
                    </w:rPr>
                  </w:pPr>
                  <w:r>
                    <w:rPr>
                      <w:rFonts w:hint="eastAsia"/>
                      <w:color w:val="auto"/>
                      <w:szCs w:val="21"/>
                      <w:lang w:val="en-US" w:eastAsia="zh-CN"/>
                    </w:rPr>
                    <w:t>6</w:t>
                  </w:r>
                </w:p>
              </w:tc>
              <w:tc>
                <w:tcPr>
                  <w:tcW w:w="1003" w:type="pct"/>
                  <w:vAlign w:val="center"/>
                </w:tcPr>
                <w:p w14:paraId="55DAE939">
                  <w:pPr>
                    <w:jc w:val="center"/>
                    <w:rPr>
                      <w:rFonts w:hint="default" w:eastAsia="宋体"/>
                      <w:color w:val="auto"/>
                      <w:szCs w:val="21"/>
                      <w:lang w:val="en-US" w:eastAsia="zh-CN"/>
                    </w:rPr>
                  </w:pPr>
                  <w:r>
                    <w:rPr>
                      <w:rFonts w:hint="eastAsia"/>
                      <w:color w:val="auto"/>
                      <w:szCs w:val="21"/>
                      <w:lang w:val="en-US" w:eastAsia="zh-CN"/>
                    </w:rPr>
                    <w:t>高温瓷护剂</w:t>
                  </w:r>
                </w:p>
              </w:tc>
              <w:tc>
                <w:tcPr>
                  <w:tcW w:w="653" w:type="pct"/>
                  <w:vAlign w:val="center"/>
                </w:tcPr>
                <w:p w14:paraId="00D2C599">
                  <w:pPr>
                    <w:jc w:val="center"/>
                    <w:rPr>
                      <w:rFonts w:hint="default" w:eastAsia="宋体"/>
                      <w:color w:val="auto"/>
                      <w:szCs w:val="21"/>
                      <w:lang w:val="en-US" w:eastAsia="zh-CN"/>
                    </w:rPr>
                  </w:pPr>
                  <w:r>
                    <w:rPr>
                      <w:rFonts w:hint="eastAsia"/>
                      <w:color w:val="auto"/>
                      <w:lang w:val="en-US" w:eastAsia="zh-CN"/>
                    </w:rPr>
                    <w:t>F-1601</w:t>
                  </w:r>
                </w:p>
              </w:tc>
              <w:tc>
                <w:tcPr>
                  <w:tcW w:w="1003" w:type="pct"/>
                  <w:vAlign w:val="center"/>
                </w:tcPr>
                <w:p w14:paraId="26B1170D">
                  <w:pPr>
                    <w:jc w:val="center"/>
                    <w:rPr>
                      <w:rFonts w:hint="default" w:eastAsia="宋体"/>
                      <w:color w:val="auto"/>
                      <w:szCs w:val="21"/>
                      <w:lang w:val="en-US" w:eastAsia="zh-CN"/>
                    </w:rPr>
                  </w:pPr>
                  <w:r>
                    <w:rPr>
                      <w:rFonts w:hint="eastAsia"/>
                      <w:color w:val="auto"/>
                      <w:lang w:val="en-US" w:eastAsia="zh-CN"/>
                    </w:rPr>
                    <w:t>300</w:t>
                  </w:r>
                </w:p>
              </w:tc>
              <w:tc>
                <w:tcPr>
                  <w:tcW w:w="1837" w:type="pct"/>
                  <w:vMerge w:val="continue"/>
                  <w:vAlign w:val="center"/>
                </w:tcPr>
                <w:p w14:paraId="423A0285">
                  <w:pPr>
                    <w:jc w:val="center"/>
                    <w:rPr>
                      <w:rFonts w:hint="eastAsia"/>
                      <w:color w:val="auto"/>
                      <w:lang w:val="en-US" w:eastAsia="zh-CN"/>
                    </w:rPr>
                  </w:pPr>
                </w:p>
              </w:tc>
            </w:tr>
            <w:tr w14:paraId="2514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59" w:type="pct"/>
                  <w:gridSpan w:val="3"/>
                  <w:vAlign w:val="center"/>
                </w:tcPr>
                <w:p w14:paraId="6E0E5FF0">
                  <w:pPr>
                    <w:jc w:val="center"/>
                    <w:rPr>
                      <w:color w:val="auto"/>
                    </w:rPr>
                  </w:pPr>
                  <w:r>
                    <w:rPr>
                      <w:rFonts w:hint="eastAsia"/>
                      <w:color w:val="auto"/>
                    </w:rPr>
                    <w:t>合计</w:t>
                  </w:r>
                </w:p>
              </w:tc>
              <w:tc>
                <w:tcPr>
                  <w:tcW w:w="1003" w:type="pct"/>
                  <w:vAlign w:val="center"/>
                </w:tcPr>
                <w:p w14:paraId="56BD606C">
                  <w:pPr>
                    <w:jc w:val="center"/>
                    <w:rPr>
                      <w:rFonts w:hint="default" w:eastAsia="宋体"/>
                      <w:color w:val="auto"/>
                      <w:lang w:val="en-US" w:eastAsia="zh-CN"/>
                    </w:rPr>
                  </w:pPr>
                  <w:r>
                    <w:rPr>
                      <w:rFonts w:hint="eastAsia"/>
                      <w:color w:val="auto"/>
                      <w:lang w:val="en-US" w:eastAsia="zh-CN"/>
                    </w:rPr>
                    <w:t>5000</w:t>
                  </w:r>
                </w:p>
              </w:tc>
              <w:tc>
                <w:tcPr>
                  <w:tcW w:w="1837" w:type="pct"/>
                  <w:vMerge w:val="continue"/>
                  <w:vAlign w:val="center"/>
                </w:tcPr>
                <w:p w14:paraId="627D1E20">
                  <w:pPr>
                    <w:jc w:val="center"/>
                    <w:rPr>
                      <w:rFonts w:hint="eastAsia"/>
                      <w:color w:val="auto"/>
                      <w:lang w:val="en-US" w:eastAsia="zh-CN"/>
                    </w:rPr>
                  </w:pPr>
                </w:p>
              </w:tc>
            </w:tr>
          </w:tbl>
          <w:p w14:paraId="4BDE5417">
            <w:pPr>
              <w:spacing w:line="500" w:lineRule="atLeast"/>
              <w:ind w:firstLine="411" w:firstLineChars="196"/>
              <w:rPr>
                <w:rFonts w:hint="eastAsia"/>
                <w:b/>
                <w:color w:val="auto"/>
                <w:kern w:val="28"/>
                <w:sz w:val="24"/>
              </w:rPr>
            </w:pPr>
            <w:r>
              <w:rPr>
                <w:rFonts w:hint="eastAsia"/>
              </w:rPr>
              <w:t>产品标准要求</w:t>
            </w:r>
            <w:r>
              <w:rPr>
                <w:rFonts w:hint="eastAsia"/>
                <w:lang w:val="en-US" w:eastAsia="zh-CN"/>
              </w:rPr>
              <w:t>详见附件11</w:t>
            </w:r>
          </w:p>
          <w:p w14:paraId="088F2362">
            <w:pPr>
              <w:spacing w:line="500" w:lineRule="atLeast"/>
              <w:ind w:firstLine="472" w:firstLineChars="196"/>
              <w:rPr>
                <w:b/>
                <w:color w:val="auto"/>
                <w:kern w:val="28"/>
                <w:sz w:val="24"/>
              </w:rPr>
            </w:pPr>
            <w:r>
              <w:rPr>
                <w:rFonts w:hint="eastAsia"/>
                <w:b/>
                <w:color w:val="auto"/>
                <w:kern w:val="28"/>
                <w:sz w:val="24"/>
              </w:rPr>
              <w:t>六</w:t>
            </w:r>
            <w:r>
              <w:rPr>
                <w:b/>
                <w:color w:val="auto"/>
                <w:kern w:val="28"/>
                <w:sz w:val="24"/>
              </w:rPr>
              <w:t>、公用工程</w:t>
            </w:r>
          </w:p>
          <w:p w14:paraId="61994478">
            <w:pPr>
              <w:spacing w:line="500" w:lineRule="atLeast"/>
              <w:ind w:firstLine="480" w:firstLineChars="200"/>
              <w:rPr>
                <w:rFonts w:ascii="宋体" w:hAnsi="宋体" w:cs="宋体"/>
                <w:color w:val="auto"/>
                <w:sz w:val="24"/>
              </w:rPr>
            </w:pPr>
            <w:r>
              <w:rPr>
                <w:rFonts w:ascii="宋体" w:hAnsi="宋体" w:cs="宋体"/>
                <w:color w:val="auto"/>
                <w:sz w:val="24"/>
              </w:rPr>
              <w:t>①给水：本项目水源</w:t>
            </w:r>
            <w:r>
              <w:rPr>
                <w:rFonts w:hint="eastAsia" w:ascii="宋体" w:hAnsi="宋体" w:cs="宋体"/>
                <w:color w:val="auto"/>
                <w:sz w:val="24"/>
              </w:rPr>
              <w:t>引自市政管网，依托</w:t>
            </w:r>
            <w:r>
              <w:rPr>
                <w:rFonts w:hint="eastAsia" w:ascii="宋体" w:hAnsi="宋体" w:cs="宋体"/>
                <w:color w:val="auto"/>
                <w:sz w:val="24"/>
                <w:lang w:eastAsia="zh-CN"/>
              </w:rPr>
              <w:t>厂区</w:t>
            </w:r>
            <w:r>
              <w:rPr>
                <w:rFonts w:hint="eastAsia" w:ascii="宋体" w:hAnsi="宋体" w:cs="宋体"/>
                <w:color w:val="auto"/>
                <w:sz w:val="24"/>
              </w:rPr>
              <w:t>现有供水管网满足项目需求</w:t>
            </w:r>
            <w:r>
              <w:rPr>
                <w:rFonts w:hint="eastAsia" w:ascii="宋体" w:hAnsi="宋体" w:cs="宋体"/>
                <w:color w:val="auto"/>
                <w:sz w:val="24"/>
                <w:lang w:eastAsia="zh-CN"/>
              </w:rPr>
              <w:t>，</w:t>
            </w:r>
            <w:r>
              <w:rPr>
                <w:rFonts w:hint="eastAsia" w:ascii="宋体" w:hAnsi="宋体" w:cs="宋体"/>
                <w:color w:val="auto"/>
                <w:sz w:val="24"/>
                <w:lang w:val="en-US" w:eastAsia="zh-CN"/>
              </w:rPr>
              <w:t>用水量约为300t/a</w:t>
            </w:r>
            <w:r>
              <w:rPr>
                <w:rFonts w:hint="eastAsia" w:ascii="宋体" w:hAnsi="宋体" w:cs="宋体"/>
                <w:color w:val="auto"/>
                <w:sz w:val="24"/>
              </w:rPr>
              <w:t>。</w:t>
            </w:r>
          </w:p>
          <w:p w14:paraId="5DDEBDC7">
            <w:pPr>
              <w:spacing w:line="500" w:lineRule="atLeast"/>
              <w:ind w:firstLine="480" w:firstLineChars="200"/>
              <w:rPr>
                <w:rFonts w:hint="default" w:ascii="宋体" w:hAnsi="宋体" w:eastAsia="宋体" w:cs="宋体"/>
                <w:color w:val="auto"/>
                <w:sz w:val="24"/>
                <w:lang w:val="en-US" w:eastAsia="zh-CN"/>
              </w:rPr>
            </w:pPr>
            <w:r>
              <w:rPr>
                <w:rFonts w:ascii="宋体" w:hAnsi="宋体" w:cs="宋体"/>
                <w:color w:val="auto"/>
                <w:sz w:val="24"/>
              </w:rPr>
              <w:t>②排水：</w:t>
            </w:r>
            <w:r>
              <w:rPr>
                <w:rFonts w:hint="eastAsia" w:ascii="宋体" w:hAnsi="宋体" w:cs="宋体"/>
                <w:color w:val="auto"/>
                <w:sz w:val="24"/>
              </w:rPr>
              <w:t>项目排水采取雨污分流，雨水经雨水管网排入市政雨水管网；生活污水依托</w:t>
            </w:r>
            <w:r>
              <w:rPr>
                <w:rFonts w:hint="eastAsia" w:ascii="宋体" w:hAnsi="宋体" w:cs="宋体"/>
                <w:color w:val="auto"/>
                <w:sz w:val="24"/>
                <w:lang w:eastAsia="zh-CN"/>
              </w:rPr>
              <w:t>厂区内</w:t>
            </w:r>
            <w:r>
              <w:rPr>
                <w:rFonts w:hint="eastAsia" w:ascii="宋体" w:hAnsi="宋体" w:cs="宋体"/>
                <w:color w:val="auto"/>
                <w:sz w:val="24"/>
              </w:rPr>
              <w:t>化粪池和隔油池预处理后排至市政污水管网后送至蚌埠市第二污水处理厂处理。</w:t>
            </w:r>
            <w:r>
              <w:rPr>
                <w:rFonts w:hint="eastAsia" w:ascii="宋体" w:hAnsi="宋体" w:cs="宋体"/>
                <w:color w:val="auto"/>
                <w:sz w:val="24"/>
                <w:lang w:val="en-US" w:eastAsia="zh-CN"/>
              </w:rPr>
              <w:t>本项目排水量为240t/a.</w:t>
            </w:r>
          </w:p>
          <w:p w14:paraId="6599FA54">
            <w:pPr>
              <w:spacing w:line="500" w:lineRule="atLeast"/>
              <w:ind w:firstLine="480" w:firstLineChars="200"/>
              <w:rPr>
                <w:rFonts w:hint="eastAsia" w:ascii="宋体" w:hAnsi="宋体" w:eastAsia="宋体" w:cs="宋体"/>
                <w:color w:val="auto"/>
                <w:sz w:val="24"/>
                <w:lang w:eastAsia="zh-CN"/>
              </w:rPr>
            </w:pPr>
            <w:r>
              <w:rPr>
                <w:rFonts w:hint="eastAsia" w:ascii="宋体" w:hAnsi="宋体" w:cs="宋体"/>
                <w:color w:val="auto"/>
                <w:sz w:val="24"/>
              </w:rPr>
              <w:t>③</w:t>
            </w:r>
            <w:r>
              <w:rPr>
                <w:rFonts w:ascii="宋体" w:hAnsi="宋体" w:cs="宋体"/>
                <w:color w:val="auto"/>
                <w:sz w:val="24"/>
              </w:rPr>
              <w:t>供电：本项目用电</w:t>
            </w:r>
            <w:r>
              <w:rPr>
                <w:rFonts w:hint="eastAsia" w:ascii="宋体" w:hAnsi="宋体" w:cs="宋体"/>
                <w:color w:val="auto"/>
                <w:sz w:val="24"/>
              </w:rPr>
              <w:t>引自市政供电线路，依托</w:t>
            </w:r>
            <w:r>
              <w:rPr>
                <w:rFonts w:hint="eastAsia" w:ascii="宋体" w:hAnsi="宋体" w:cs="宋体"/>
                <w:color w:val="auto"/>
                <w:sz w:val="24"/>
                <w:lang w:eastAsia="zh-CN"/>
              </w:rPr>
              <w:t>厂区</w:t>
            </w:r>
            <w:r>
              <w:rPr>
                <w:rFonts w:hint="eastAsia" w:ascii="宋体" w:hAnsi="宋体" w:cs="宋体"/>
                <w:color w:val="auto"/>
                <w:sz w:val="24"/>
              </w:rPr>
              <w:t>现有供电系统满足生产生活需求</w:t>
            </w:r>
            <w:r>
              <w:rPr>
                <w:rFonts w:hint="eastAsia" w:ascii="宋体" w:hAnsi="宋体" w:cs="宋体"/>
                <w:color w:val="auto"/>
                <w:sz w:val="24"/>
                <w:lang w:eastAsia="zh-CN"/>
              </w:rPr>
              <w:t>，</w:t>
            </w:r>
            <w:r>
              <w:rPr>
                <w:rFonts w:hint="eastAsia" w:ascii="宋体" w:hAnsi="宋体" w:cs="宋体"/>
                <w:color w:val="auto"/>
                <w:sz w:val="24"/>
                <w:lang w:val="en-US" w:eastAsia="zh-CN"/>
              </w:rPr>
              <w:t>本项目</w:t>
            </w:r>
            <w:r>
              <w:rPr>
                <w:rFonts w:hint="eastAsia" w:ascii="宋体" w:hAnsi="宋体" w:cs="宋体"/>
                <w:color w:val="auto"/>
                <w:sz w:val="24"/>
              </w:rPr>
              <w:t>总用电量</w:t>
            </w:r>
            <w:r>
              <w:rPr>
                <w:rFonts w:hint="eastAsia" w:ascii="宋体" w:hAnsi="宋体" w:cs="宋体"/>
                <w:color w:val="auto"/>
                <w:sz w:val="24"/>
                <w:lang w:val="en-US" w:eastAsia="zh-CN"/>
              </w:rPr>
              <w:t>约为</w:t>
            </w:r>
            <w:r>
              <w:rPr>
                <w:rFonts w:hint="eastAsia" w:ascii="宋体" w:hAnsi="宋体" w:cs="宋体"/>
                <w:color w:val="auto"/>
                <w:sz w:val="24"/>
              </w:rPr>
              <w:t>10万kWh/a</w:t>
            </w:r>
            <w:r>
              <w:rPr>
                <w:rFonts w:hint="eastAsia" w:ascii="宋体" w:hAnsi="宋体" w:cs="宋体"/>
                <w:color w:val="auto"/>
                <w:sz w:val="24"/>
                <w:lang w:eastAsia="zh-CN"/>
              </w:rPr>
              <w:t>。</w:t>
            </w:r>
          </w:p>
          <w:p w14:paraId="3D1B0079">
            <w:pPr>
              <w:spacing w:line="500" w:lineRule="atLeast"/>
              <w:ind w:firstLine="482" w:firstLineChars="200"/>
              <w:rPr>
                <w:b/>
                <w:bCs/>
                <w:color w:val="auto"/>
                <w:sz w:val="24"/>
              </w:rPr>
            </w:pPr>
            <w:r>
              <w:rPr>
                <w:b/>
                <w:bCs/>
                <w:color w:val="auto"/>
                <w:sz w:val="24"/>
              </w:rPr>
              <w:t>七、平面布置合理性分析</w:t>
            </w:r>
          </w:p>
          <w:p w14:paraId="3AF4D4D6">
            <w:pPr>
              <w:spacing w:line="460" w:lineRule="atLeast"/>
              <w:ind w:firstLine="480" w:firstLineChars="200"/>
              <w:rPr>
                <w:color w:val="auto"/>
                <w:sz w:val="24"/>
              </w:rPr>
            </w:pPr>
            <w:r>
              <w:rPr>
                <w:rFonts w:hint="eastAsia"/>
                <w:color w:val="auto"/>
                <w:sz w:val="24"/>
              </w:rPr>
              <w:t>（1）周边环境概况</w:t>
            </w:r>
          </w:p>
          <w:p w14:paraId="6E2FA2CB">
            <w:pPr>
              <w:shd w:val="clear"/>
              <w:spacing w:line="460" w:lineRule="atLeast"/>
              <w:ind w:firstLine="480" w:firstLineChars="200"/>
              <w:rPr>
                <w:color w:val="auto"/>
                <w:sz w:val="24"/>
                <w:highlight w:val="none"/>
              </w:rPr>
            </w:pPr>
            <w:r>
              <w:rPr>
                <w:rFonts w:hint="eastAsia"/>
                <w:snapToGrid w:val="0"/>
                <w:color w:val="auto"/>
                <w:kern w:val="0"/>
                <w:sz w:val="24"/>
                <w:highlight w:val="none"/>
              </w:rPr>
              <w:t>项目位于安徽省蚌埠市龙子湖区高铁工贸园胜利路9号</w:t>
            </w:r>
            <w:r>
              <w:rPr>
                <w:rFonts w:hint="eastAsia"/>
                <w:snapToGrid w:val="0"/>
                <w:color w:val="auto"/>
                <w:kern w:val="0"/>
                <w:sz w:val="24"/>
                <w:highlight w:val="none"/>
                <w:lang w:eastAsia="zh-CN"/>
              </w:rPr>
              <w:t>（安徽瑞龙玻璃机械股份有限公司）厂房</w:t>
            </w:r>
            <w:r>
              <w:rPr>
                <w:rFonts w:hint="eastAsia"/>
                <w:snapToGrid w:val="0"/>
                <w:color w:val="auto"/>
                <w:kern w:val="0"/>
                <w:sz w:val="24"/>
                <w:highlight w:val="none"/>
              </w:rPr>
              <w:t>，</w:t>
            </w:r>
            <w:r>
              <w:rPr>
                <w:rFonts w:hint="eastAsia"/>
                <w:bCs/>
                <w:color w:val="auto"/>
                <w:sz w:val="24"/>
                <w:highlight w:val="none"/>
                <w:lang w:eastAsia="zh-CN"/>
              </w:rPr>
              <w:t>西侧为</w:t>
            </w:r>
            <w:r>
              <w:rPr>
                <w:rFonts w:hint="eastAsia"/>
                <w:bCs/>
                <w:color w:val="auto"/>
                <w:sz w:val="24"/>
                <w:highlight w:val="none"/>
                <w:lang w:val="en-US" w:eastAsia="zh-CN"/>
              </w:rPr>
              <w:t>现有道路，</w:t>
            </w:r>
            <w:r>
              <w:rPr>
                <w:rFonts w:hint="eastAsia"/>
                <w:bCs/>
                <w:color w:val="auto"/>
                <w:sz w:val="24"/>
                <w:highlight w:val="none"/>
                <w:lang w:eastAsia="zh-CN"/>
              </w:rPr>
              <w:t>北侧为</w:t>
            </w:r>
            <w:r>
              <w:rPr>
                <w:rFonts w:hint="eastAsia"/>
                <w:bCs/>
                <w:color w:val="auto"/>
                <w:sz w:val="24"/>
                <w:highlight w:val="none"/>
                <w:lang w:val="en-US" w:eastAsia="zh-CN"/>
              </w:rPr>
              <w:t>现有道路，</w:t>
            </w:r>
            <w:r>
              <w:rPr>
                <w:rFonts w:hint="eastAsia"/>
                <w:bCs/>
                <w:color w:val="auto"/>
                <w:sz w:val="24"/>
                <w:highlight w:val="none"/>
                <w:lang w:eastAsia="zh-CN"/>
              </w:rPr>
              <w:t>南侧为胜利东路，</w:t>
            </w:r>
            <w:r>
              <w:rPr>
                <w:rFonts w:hint="eastAsia"/>
                <w:bCs/>
                <w:color w:val="auto"/>
                <w:sz w:val="24"/>
                <w:highlight w:val="none"/>
                <w:lang w:val="en-US" w:eastAsia="zh-CN"/>
              </w:rPr>
              <w:t>东侧为工业待用地</w:t>
            </w:r>
            <w:r>
              <w:rPr>
                <w:rFonts w:hint="eastAsia"/>
                <w:snapToGrid w:val="0"/>
                <w:color w:val="auto"/>
                <w:kern w:val="0"/>
                <w:sz w:val="24"/>
                <w:highlight w:val="none"/>
              </w:rPr>
              <w:t>。</w:t>
            </w:r>
            <w:r>
              <w:rPr>
                <w:rFonts w:hint="eastAsia"/>
                <w:color w:val="auto"/>
                <w:sz w:val="24"/>
                <w:highlight w:val="none"/>
              </w:rPr>
              <w:t>周边5</w:t>
            </w:r>
            <w:r>
              <w:rPr>
                <w:color w:val="auto"/>
                <w:sz w:val="24"/>
                <w:highlight w:val="none"/>
              </w:rPr>
              <w:t>00</w:t>
            </w:r>
            <w:r>
              <w:rPr>
                <w:rFonts w:hint="eastAsia"/>
                <w:color w:val="auto"/>
                <w:sz w:val="24"/>
                <w:highlight w:val="none"/>
              </w:rPr>
              <w:t>m内无敏感目标，周边</w:t>
            </w:r>
            <w:r>
              <w:rPr>
                <w:rFonts w:hint="eastAsia"/>
                <w:color w:val="auto"/>
                <w:sz w:val="24"/>
                <w:highlight w:val="none"/>
                <w:lang w:eastAsia="zh-CN"/>
              </w:rPr>
              <w:t>环境保护目标</w:t>
            </w:r>
            <w:r>
              <w:rPr>
                <w:rFonts w:hint="eastAsia"/>
                <w:color w:val="auto"/>
                <w:sz w:val="24"/>
                <w:highlight w:val="none"/>
              </w:rPr>
              <w:t>图见附图</w:t>
            </w:r>
            <w:r>
              <w:rPr>
                <w:rFonts w:hint="eastAsia"/>
                <w:color w:val="auto"/>
                <w:sz w:val="24"/>
                <w:highlight w:val="none"/>
                <w:lang w:val="en-US" w:eastAsia="zh-CN"/>
              </w:rPr>
              <w:t>5</w:t>
            </w:r>
            <w:r>
              <w:rPr>
                <w:rFonts w:hint="eastAsia"/>
                <w:color w:val="auto"/>
                <w:sz w:val="24"/>
                <w:highlight w:val="none"/>
              </w:rPr>
              <w:t>。</w:t>
            </w:r>
          </w:p>
          <w:p w14:paraId="6D903C48">
            <w:pPr>
              <w:shd w:val="clear"/>
              <w:spacing w:line="460" w:lineRule="atLeast"/>
              <w:ind w:firstLine="480" w:firstLineChars="200"/>
              <w:rPr>
                <w:snapToGrid w:val="0"/>
                <w:color w:val="auto"/>
                <w:kern w:val="0"/>
                <w:sz w:val="24"/>
                <w:highlight w:val="none"/>
              </w:rPr>
            </w:pPr>
            <w:r>
              <w:rPr>
                <w:rFonts w:hint="eastAsia"/>
                <w:snapToGrid w:val="0"/>
                <w:color w:val="auto"/>
                <w:kern w:val="0"/>
                <w:sz w:val="24"/>
                <w:highlight w:val="none"/>
              </w:rPr>
              <w:t>（2）总平面布置合理性</w:t>
            </w:r>
          </w:p>
          <w:p w14:paraId="021E6773">
            <w:pPr>
              <w:shd w:val="clear"/>
              <w:spacing w:line="460" w:lineRule="atLeast"/>
              <w:ind w:firstLine="480" w:firstLineChars="200"/>
              <w:rPr>
                <w:snapToGrid w:val="0"/>
                <w:color w:val="auto"/>
                <w:kern w:val="0"/>
                <w:sz w:val="24"/>
              </w:rPr>
            </w:pPr>
            <w:r>
              <w:rPr>
                <w:rFonts w:hint="eastAsia"/>
                <w:snapToGrid w:val="0"/>
                <w:color w:val="auto"/>
                <w:kern w:val="0"/>
                <w:sz w:val="24"/>
                <w:highlight w:val="none"/>
              </w:rPr>
              <w:t>本项目在安徽省蚌埠市龙子湖区高铁工贸园胜利路9号</w:t>
            </w:r>
            <w:r>
              <w:rPr>
                <w:rFonts w:hint="eastAsia"/>
                <w:snapToGrid w:val="0"/>
                <w:color w:val="auto"/>
                <w:kern w:val="0"/>
                <w:sz w:val="24"/>
                <w:highlight w:val="none"/>
                <w:lang w:eastAsia="zh-CN"/>
              </w:rPr>
              <w:t>（安徽瑞龙玻璃机械股份有限公司）厂房</w:t>
            </w:r>
            <w:r>
              <w:rPr>
                <w:rFonts w:hint="eastAsia"/>
                <w:snapToGrid w:val="0"/>
                <w:color w:val="auto"/>
                <w:kern w:val="0"/>
                <w:sz w:val="24"/>
                <w:highlight w:val="none"/>
              </w:rPr>
              <w:t>。按照生产工艺流程进行布置，减少了物料在生产过程中的搬运，不但节约成本和时间，而且也使得车间的布局紧凑，大大促进项目的生产效率。危废暂存间位于厂房外北侧。总平面布置满足生产需求，因此，项目的总平面布置合理。</w:t>
            </w:r>
          </w:p>
        </w:tc>
      </w:tr>
      <w:tr w14:paraId="76FC3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4" w:hRule="atLeast"/>
          <w:jc w:val="center"/>
        </w:trPr>
        <w:tc>
          <w:tcPr>
            <w:tcW w:w="282" w:type="pct"/>
            <w:vAlign w:val="center"/>
          </w:tcPr>
          <w:p w14:paraId="13099E8D">
            <w:pPr>
              <w:widowControl/>
              <w:adjustRightInd w:val="0"/>
              <w:snapToGrid w:val="0"/>
              <w:jc w:val="center"/>
              <w:rPr>
                <w:rFonts w:ascii="宋体" w:hAnsi="宋体" w:cs="宋体"/>
                <w:color w:val="auto"/>
                <w:kern w:val="0"/>
                <w:szCs w:val="21"/>
              </w:rPr>
            </w:pPr>
            <w:r>
              <w:rPr>
                <w:rFonts w:hint="eastAsia" w:cs="宋体"/>
                <w:color w:val="auto"/>
                <w:szCs w:val="24"/>
              </w:rPr>
              <w:t>工艺流程和产排污环节</w:t>
            </w:r>
          </w:p>
        </w:tc>
        <w:tc>
          <w:tcPr>
            <w:tcW w:w="4717" w:type="pct"/>
            <w:vAlign w:val="center"/>
          </w:tcPr>
          <w:p w14:paraId="178D716C">
            <w:pPr>
              <w:ind w:firstLine="482" w:firstLineChars="200"/>
              <w:rPr>
                <w:b/>
                <w:snapToGrid w:val="0"/>
                <w:color w:val="auto"/>
                <w:kern w:val="0"/>
                <w:sz w:val="24"/>
              </w:rPr>
            </w:pPr>
            <w:r>
              <w:rPr>
                <w:b/>
                <w:bCs/>
                <w:snapToGrid w:val="0"/>
                <w:color w:val="auto"/>
                <w:kern w:val="0"/>
                <w:sz w:val="24"/>
              </w:rPr>
              <mc:AlternateContent>
                <mc:Choice Requires="wpg">
                  <w:drawing>
                    <wp:anchor distT="0" distB="0" distL="114300" distR="114300" simplePos="0" relativeHeight="251660288" behindDoc="0" locked="0" layoutInCell="1" allowOverlap="1">
                      <wp:simplePos x="0" y="0"/>
                      <wp:positionH relativeFrom="column">
                        <wp:posOffset>-152400</wp:posOffset>
                      </wp:positionH>
                      <wp:positionV relativeFrom="paragraph">
                        <wp:posOffset>151130</wp:posOffset>
                      </wp:positionV>
                      <wp:extent cx="5132705" cy="1470660"/>
                      <wp:effectExtent l="0" t="0" r="0" b="0"/>
                      <wp:wrapNone/>
                      <wp:docPr id="337" name="组合 337"/>
                      <wp:cNvGraphicFramePr/>
                      <a:graphic xmlns:a="http://schemas.openxmlformats.org/drawingml/2006/main">
                        <a:graphicData uri="http://schemas.microsoft.com/office/word/2010/wordprocessingGroup">
                          <wpg:wgp>
                            <wpg:cNvGrpSpPr/>
                            <wpg:grpSpPr>
                              <a:xfrm>
                                <a:off x="0" y="0"/>
                                <a:ext cx="5132705" cy="1470660"/>
                                <a:chOff x="7318" y="483508"/>
                                <a:chExt cx="4446" cy="2549"/>
                              </a:xfrm>
                            </wpg:grpSpPr>
                            <wps:wsp>
                              <wps:cNvPr id="338" name="文本框 2847"/>
                              <wps:cNvSpPr txBox="1">
                                <a:spLocks noChangeArrowheads="1"/>
                              </wps:cNvSpPr>
                              <wps:spPr bwMode="auto">
                                <a:xfrm>
                                  <a:off x="7609" y="484570"/>
                                  <a:ext cx="958" cy="465"/>
                                </a:xfrm>
                                <a:prstGeom prst="rect">
                                  <a:avLst/>
                                </a:prstGeom>
                                <a:solidFill>
                                  <a:srgbClr val="FFFFFF"/>
                                </a:solidFill>
                                <a:ln w="9525">
                                  <a:solidFill>
                                    <a:srgbClr val="000000"/>
                                  </a:solidFill>
                                  <a:miter lim="800000"/>
                                </a:ln>
                                <a:effectLst/>
                              </wps:spPr>
                              <wps:txbx>
                                <w:txbxContent>
                                  <w:p w14:paraId="0F907411">
                                    <w:pPr>
                                      <w:spacing w:line="360" w:lineRule="auto"/>
                                      <w:jc w:val="center"/>
                                      <w:rPr>
                                        <w:bCs/>
                                        <w:szCs w:val="21"/>
                                      </w:rPr>
                                    </w:pPr>
                                    <w:r>
                                      <w:rPr>
                                        <w:rFonts w:hint="eastAsia"/>
                                        <w:bCs/>
                                        <w:szCs w:val="21"/>
                                      </w:rPr>
                                      <w:t>装修工程</w:t>
                                    </w:r>
                                  </w:p>
                                </w:txbxContent>
                              </wps:txbx>
                              <wps:bodyPr rot="0" vert="horz" wrap="square" lIns="0" tIns="0" rIns="0" bIns="0" anchor="t" anchorCtr="0" upright="1">
                                <a:noAutofit/>
                              </wps:bodyPr>
                            </wps:wsp>
                            <wps:wsp>
                              <wps:cNvPr id="341" name="文本框 50"/>
                              <wps:cNvSpPr txBox="1">
                                <a:spLocks noChangeArrowheads="1"/>
                              </wps:cNvSpPr>
                              <wps:spPr bwMode="auto">
                                <a:xfrm>
                                  <a:off x="7402" y="483605"/>
                                  <a:ext cx="1373" cy="568"/>
                                </a:xfrm>
                                <a:prstGeom prst="rect">
                                  <a:avLst/>
                                </a:prstGeom>
                                <a:noFill/>
                                <a:ln>
                                  <a:noFill/>
                                </a:ln>
                                <a:effectLst/>
                              </wps:spPr>
                              <wps:txbx>
                                <w:txbxContent>
                                  <w:p w14:paraId="1E9E8859">
                                    <w:pPr>
                                      <w:spacing w:line="360" w:lineRule="auto"/>
                                      <w:jc w:val="center"/>
                                      <w:rPr>
                                        <w:bCs/>
                                        <w:szCs w:val="21"/>
                                      </w:rPr>
                                    </w:pPr>
                                    <w:r>
                                      <w:rPr>
                                        <w:rFonts w:hint="eastAsia"/>
                                        <w:bCs/>
                                        <w:szCs w:val="21"/>
                                      </w:rPr>
                                      <w:t>噪声、废气、废水</w:t>
                                    </w:r>
                                  </w:p>
                                </w:txbxContent>
                              </wps:txbx>
                              <wps:bodyPr rot="0" vert="horz" wrap="square" lIns="91440" tIns="45720" rIns="91440" bIns="45720" anchor="t" anchorCtr="0" upright="1">
                                <a:noAutofit/>
                              </wps:bodyPr>
                            </wps:wsp>
                            <wps:wsp>
                              <wps:cNvPr id="343" name="文本框 2847"/>
                              <wps:cNvSpPr txBox="1">
                                <a:spLocks noChangeArrowheads="1"/>
                              </wps:cNvSpPr>
                              <wps:spPr bwMode="auto">
                                <a:xfrm>
                                  <a:off x="9049" y="484585"/>
                                  <a:ext cx="1033" cy="465"/>
                                </a:xfrm>
                                <a:prstGeom prst="rect">
                                  <a:avLst/>
                                </a:prstGeom>
                                <a:solidFill>
                                  <a:srgbClr val="FFFFFF"/>
                                </a:solidFill>
                                <a:ln w="9525">
                                  <a:solidFill>
                                    <a:srgbClr val="000000"/>
                                  </a:solidFill>
                                  <a:miter lim="800000"/>
                                </a:ln>
                                <a:effectLst/>
                              </wps:spPr>
                              <wps:txbx>
                                <w:txbxContent>
                                  <w:p w14:paraId="17F4E659">
                                    <w:pPr>
                                      <w:spacing w:line="360" w:lineRule="auto"/>
                                      <w:jc w:val="center"/>
                                      <w:rPr>
                                        <w:bCs/>
                                        <w:szCs w:val="21"/>
                                      </w:rPr>
                                    </w:pPr>
                                    <w:r>
                                      <w:rPr>
                                        <w:rFonts w:hint="eastAsia"/>
                                        <w:bCs/>
                                        <w:szCs w:val="21"/>
                                      </w:rPr>
                                      <w:t>设备安装</w:t>
                                    </w:r>
                                  </w:p>
                                </w:txbxContent>
                              </wps:txbx>
                              <wps:bodyPr rot="0" vert="horz" wrap="square" lIns="0" tIns="0" rIns="0" bIns="0" anchor="t" anchorCtr="0" upright="1">
                                <a:noAutofit/>
                              </wps:bodyPr>
                            </wps:wsp>
                            <wps:wsp>
                              <wps:cNvPr id="344" name="直线 2938"/>
                              <wps:cNvCnPr>
                                <a:cxnSpLocks noChangeShapeType="1"/>
                              </wps:cNvCnPr>
                              <wps:spPr bwMode="auto">
                                <a:xfrm>
                                  <a:off x="10092" y="484835"/>
                                  <a:ext cx="443" cy="1"/>
                                </a:xfrm>
                                <a:prstGeom prst="line">
                                  <a:avLst/>
                                </a:prstGeom>
                                <a:noFill/>
                                <a:ln w="9525">
                                  <a:solidFill>
                                    <a:srgbClr val="000000"/>
                                  </a:solidFill>
                                  <a:round/>
                                  <a:tailEnd type="triangle" w="med" len="med"/>
                                </a:ln>
                                <a:effectLst/>
                              </wps:spPr>
                              <wps:bodyPr/>
                            </wps:wsp>
                            <wps:wsp>
                              <wps:cNvPr id="345" name="文本框 57"/>
                              <wps:cNvSpPr txBox="1">
                                <a:spLocks noChangeArrowheads="1"/>
                              </wps:cNvSpPr>
                              <wps:spPr bwMode="auto">
                                <a:xfrm>
                                  <a:off x="10475" y="485442"/>
                                  <a:ext cx="1289" cy="615"/>
                                </a:xfrm>
                                <a:prstGeom prst="rect">
                                  <a:avLst/>
                                </a:prstGeom>
                                <a:noFill/>
                                <a:ln>
                                  <a:noFill/>
                                </a:ln>
                                <a:effectLst/>
                              </wps:spPr>
                              <wps:txbx>
                                <w:txbxContent>
                                  <w:p w14:paraId="31F2CC16">
                                    <w:pPr>
                                      <w:spacing w:line="360" w:lineRule="auto"/>
                                      <w:jc w:val="center"/>
                                      <w:rPr>
                                        <w:bCs/>
                                        <w:szCs w:val="21"/>
                                      </w:rPr>
                                    </w:pPr>
                                    <w:r>
                                      <w:rPr>
                                        <w:rFonts w:hint="eastAsia"/>
                                        <w:bCs/>
                                        <w:szCs w:val="21"/>
                                      </w:rPr>
                                      <w:t>运行使用</w:t>
                                    </w:r>
                                  </w:p>
                                </w:txbxContent>
                              </wps:txbx>
                              <wps:bodyPr rot="0" vert="horz" wrap="square" lIns="91440" tIns="45720" rIns="91440" bIns="45720" anchor="t" anchorCtr="0" upright="1">
                                <a:noAutofit/>
                              </wps:bodyPr>
                            </wps:wsp>
                            <wps:wsp>
                              <wps:cNvPr id="346" name="直线 58"/>
                              <wps:cNvCnPr>
                                <a:cxnSpLocks noChangeShapeType="1"/>
                              </wps:cNvCnPr>
                              <wps:spPr bwMode="auto">
                                <a:xfrm flipV="1">
                                  <a:off x="8090" y="484095"/>
                                  <a:ext cx="1" cy="491"/>
                                </a:xfrm>
                                <a:prstGeom prst="line">
                                  <a:avLst/>
                                </a:prstGeom>
                                <a:noFill/>
                                <a:ln w="9525">
                                  <a:solidFill>
                                    <a:srgbClr val="000000"/>
                                  </a:solidFill>
                                  <a:prstDash val="dash"/>
                                  <a:round/>
                                  <a:tailEnd type="triangle" w="med" len="med"/>
                                </a:ln>
                                <a:effectLst/>
                              </wps:spPr>
                              <wps:bodyPr/>
                            </wps:wsp>
                            <wps:wsp>
                              <wps:cNvPr id="347" name="文本框 59"/>
                              <wps:cNvSpPr txBox="1">
                                <a:spLocks noChangeArrowheads="1"/>
                              </wps:cNvSpPr>
                              <wps:spPr bwMode="auto">
                                <a:xfrm>
                                  <a:off x="9168" y="483508"/>
                                  <a:ext cx="840" cy="532"/>
                                </a:xfrm>
                                <a:prstGeom prst="rect">
                                  <a:avLst/>
                                </a:prstGeom>
                                <a:noFill/>
                                <a:ln>
                                  <a:noFill/>
                                </a:ln>
                                <a:effectLst/>
                              </wps:spPr>
                              <wps:txbx>
                                <w:txbxContent>
                                  <w:p w14:paraId="71697701">
                                    <w:pPr>
                                      <w:spacing w:line="360" w:lineRule="auto"/>
                                      <w:jc w:val="center"/>
                                      <w:rPr>
                                        <w:bCs/>
                                        <w:szCs w:val="21"/>
                                      </w:rPr>
                                    </w:pPr>
                                    <w:r>
                                      <w:rPr>
                                        <w:rFonts w:hint="eastAsia"/>
                                        <w:bCs/>
                                        <w:szCs w:val="21"/>
                                      </w:rPr>
                                      <w:t>噪声</w:t>
                                    </w:r>
                                  </w:p>
                                </w:txbxContent>
                              </wps:txbx>
                              <wps:bodyPr rot="0" vert="horz" wrap="square" lIns="91440" tIns="45720" rIns="91440" bIns="45720" anchor="t" anchorCtr="0" upright="1">
                                <a:noAutofit/>
                              </wps:bodyPr>
                            </wps:wsp>
                            <wps:wsp>
                              <wps:cNvPr id="348" name="直线 60"/>
                              <wps:cNvCnPr>
                                <a:cxnSpLocks noChangeShapeType="1"/>
                              </wps:cNvCnPr>
                              <wps:spPr bwMode="auto">
                                <a:xfrm>
                                  <a:off x="8090" y="485052"/>
                                  <a:ext cx="1" cy="516"/>
                                </a:xfrm>
                                <a:prstGeom prst="line">
                                  <a:avLst/>
                                </a:prstGeom>
                                <a:noFill/>
                                <a:ln w="9525">
                                  <a:solidFill>
                                    <a:srgbClr val="000000"/>
                                  </a:solidFill>
                                  <a:prstDash val="dash"/>
                                  <a:round/>
                                  <a:tailEnd type="triangle" w="med" len="med"/>
                                </a:ln>
                                <a:effectLst/>
                              </wps:spPr>
                              <wps:bodyPr/>
                            </wps:wsp>
                            <wps:wsp>
                              <wps:cNvPr id="352" name="文本框 2847"/>
                              <wps:cNvSpPr txBox="1">
                                <a:spLocks noChangeArrowheads="1"/>
                              </wps:cNvSpPr>
                              <wps:spPr bwMode="auto">
                                <a:xfrm>
                                  <a:off x="10549" y="484585"/>
                                  <a:ext cx="1033" cy="465"/>
                                </a:xfrm>
                                <a:prstGeom prst="rect">
                                  <a:avLst/>
                                </a:prstGeom>
                                <a:solidFill>
                                  <a:srgbClr val="FFFFFF"/>
                                </a:solidFill>
                                <a:ln w="9525">
                                  <a:solidFill>
                                    <a:srgbClr val="000000"/>
                                  </a:solidFill>
                                  <a:miter lim="800000"/>
                                </a:ln>
                                <a:effectLst/>
                              </wps:spPr>
                              <wps:txbx>
                                <w:txbxContent>
                                  <w:p w14:paraId="6F807C5C">
                                    <w:pPr>
                                      <w:spacing w:line="360" w:lineRule="auto"/>
                                      <w:jc w:val="center"/>
                                      <w:rPr>
                                        <w:bCs/>
                                        <w:szCs w:val="21"/>
                                      </w:rPr>
                                    </w:pPr>
                                    <w:r>
                                      <w:rPr>
                                        <w:rFonts w:hint="eastAsia"/>
                                        <w:bCs/>
                                        <w:szCs w:val="21"/>
                                      </w:rPr>
                                      <w:t>工程验收</w:t>
                                    </w:r>
                                  </w:p>
                                </w:txbxContent>
                              </wps:txbx>
                              <wps:bodyPr rot="0" vert="horz" wrap="square" lIns="0" tIns="0" rIns="0" bIns="0" anchor="t" anchorCtr="0" upright="1">
                                <a:noAutofit/>
                              </wps:bodyPr>
                            </wps:wsp>
                            <wps:wsp>
                              <wps:cNvPr id="356" name="直线 2938"/>
                              <wps:cNvCnPr>
                                <a:cxnSpLocks noChangeShapeType="1"/>
                              </wps:cNvCnPr>
                              <wps:spPr bwMode="auto">
                                <a:xfrm>
                                  <a:off x="8576" y="484835"/>
                                  <a:ext cx="473" cy="1"/>
                                </a:xfrm>
                                <a:prstGeom prst="line">
                                  <a:avLst/>
                                </a:prstGeom>
                                <a:noFill/>
                                <a:ln w="9525">
                                  <a:solidFill>
                                    <a:srgbClr val="000000"/>
                                  </a:solidFill>
                                  <a:round/>
                                  <a:tailEnd type="triangle" w="med" len="med"/>
                                </a:ln>
                                <a:effectLst/>
                              </wps:spPr>
                              <wps:bodyPr/>
                            </wps:wsp>
                            <wps:wsp>
                              <wps:cNvPr id="363" name="直线 62"/>
                              <wps:cNvCnPr>
                                <a:cxnSpLocks noChangeShapeType="1"/>
                              </wps:cNvCnPr>
                              <wps:spPr bwMode="auto">
                                <a:xfrm flipH="1" flipV="1">
                                  <a:off x="9561" y="484093"/>
                                  <a:ext cx="14" cy="494"/>
                                </a:xfrm>
                                <a:prstGeom prst="line">
                                  <a:avLst/>
                                </a:prstGeom>
                                <a:noFill/>
                                <a:ln w="9525">
                                  <a:solidFill>
                                    <a:srgbClr val="000000"/>
                                  </a:solidFill>
                                  <a:prstDash val="dash"/>
                                  <a:round/>
                                  <a:tailEnd type="triangle" w="med" len="med"/>
                                </a:ln>
                                <a:effectLst/>
                              </wps:spPr>
                              <wps:bodyPr/>
                            </wps:wsp>
                            <wps:wsp>
                              <wps:cNvPr id="364" name="直线 62"/>
                              <wps:cNvCnPr>
                                <a:cxnSpLocks noChangeShapeType="1"/>
                              </wps:cNvCnPr>
                              <wps:spPr bwMode="auto">
                                <a:xfrm>
                                  <a:off x="11105" y="485052"/>
                                  <a:ext cx="14" cy="526"/>
                                </a:xfrm>
                                <a:prstGeom prst="line">
                                  <a:avLst/>
                                </a:prstGeom>
                                <a:noFill/>
                                <a:ln w="9525">
                                  <a:solidFill>
                                    <a:srgbClr val="000000"/>
                                  </a:solidFill>
                                  <a:round/>
                                  <a:tailEnd type="triangle" w="med" len="med"/>
                                </a:ln>
                                <a:effectLst/>
                              </wps:spPr>
                              <wps:bodyPr/>
                            </wps:wsp>
                            <wps:wsp>
                              <wps:cNvPr id="365" name="文本框 61"/>
                              <wps:cNvSpPr txBox="1">
                                <a:spLocks noChangeArrowheads="1"/>
                              </wps:cNvSpPr>
                              <wps:spPr bwMode="auto">
                                <a:xfrm>
                                  <a:off x="7318" y="485350"/>
                                  <a:ext cx="1335" cy="582"/>
                                </a:xfrm>
                                <a:prstGeom prst="rect">
                                  <a:avLst/>
                                </a:prstGeom>
                                <a:noFill/>
                                <a:ln>
                                  <a:noFill/>
                                </a:ln>
                                <a:effectLst/>
                              </wps:spPr>
                              <wps:txbx>
                                <w:txbxContent>
                                  <w:p w14:paraId="15C575AD">
                                    <w:pPr>
                                      <w:spacing w:line="360" w:lineRule="auto"/>
                                      <w:jc w:val="center"/>
                                      <w:rPr>
                                        <w:bCs/>
                                        <w:szCs w:val="21"/>
                                      </w:rPr>
                                    </w:pPr>
                                    <w:r>
                                      <w:rPr>
                                        <w:rFonts w:hint="eastAsia"/>
                                        <w:bCs/>
                                        <w:szCs w:val="21"/>
                                      </w:rPr>
                                      <w:t>建筑垃圾</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2pt;margin-top:11.9pt;height:115.8pt;width:404.15pt;z-index:251660288;mso-width-relative:page;mso-height-relative:page;" coordorigin="7318,483508" coordsize="4446,2549" o:gfxdata="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&#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">
                      <o:lock v:ext="edit" aspectratio="f"/>
                      <v:shape id="文本框 2847" o:spid="_x0000_s1026" o:spt="202" type="#_x0000_t202" style="position:absolute;left:7609;top:484570;height:465;width:958;" fillcolor="#FFFFFF" filled="t" stroked="t" coordsize="21600,21600" o:gfxdata="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mBNq5AAAA3A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inset="0mm,0mm,0mm,0mm">
                          <w:txbxContent>
                            <w:p w14:paraId="0F907411">
                              <w:pPr>
                                <w:spacing w:line="360" w:lineRule="auto"/>
                                <w:jc w:val="center"/>
                                <w:rPr>
                                  <w:bCs/>
                                  <w:szCs w:val="21"/>
                                </w:rPr>
                              </w:pPr>
                              <w:r>
                                <w:rPr>
                                  <w:rFonts w:hint="eastAsia"/>
                                  <w:bCs/>
                                  <w:szCs w:val="21"/>
                                </w:rPr>
                                <w:t>装修工程</w:t>
                              </w:r>
                            </w:p>
                          </w:txbxContent>
                        </v:textbox>
                      </v:shape>
                      <v:shape id="文本框 50" o:spid="_x0000_s1026" o:spt="202" type="#_x0000_t202" style="position:absolute;left:7402;top:483605;height:568;width:1373;" filled="f" stroked="f" coordsize="21600,21600" o:gfxdata="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GrX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E9E8859">
                              <w:pPr>
                                <w:spacing w:line="360" w:lineRule="auto"/>
                                <w:jc w:val="center"/>
                                <w:rPr>
                                  <w:bCs/>
                                  <w:szCs w:val="21"/>
                                </w:rPr>
                              </w:pPr>
                              <w:r>
                                <w:rPr>
                                  <w:rFonts w:hint="eastAsia"/>
                                  <w:bCs/>
                                  <w:szCs w:val="21"/>
                                </w:rPr>
                                <w:t>噪声、废气、废水</w:t>
                              </w:r>
                            </w:p>
                          </w:txbxContent>
                        </v:textbox>
                      </v:shape>
                      <v:shape id="文本框 2847" o:spid="_x0000_s1026" o:spt="202" type="#_x0000_t202" style="position:absolute;left:9049;top:484585;height:465;width:1033;" fillcolor="#FFFFFF" filled="t" stroked="t" coordsize="21600,21600" o:gfxdata="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OX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14:paraId="17F4E659">
                              <w:pPr>
                                <w:spacing w:line="360" w:lineRule="auto"/>
                                <w:jc w:val="center"/>
                                <w:rPr>
                                  <w:bCs/>
                                  <w:szCs w:val="21"/>
                                </w:rPr>
                              </w:pPr>
                              <w:r>
                                <w:rPr>
                                  <w:rFonts w:hint="eastAsia"/>
                                  <w:bCs/>
                                  <w:szCs w:val="21"/>
                                </w:rPr>
                                <w:t>设备安装</w:t>
                              </w:r>
                            </w:p>
                          </w:txbxContent>
                        </v:textbox>
                      </v:shape>
                      <v:line id="直线 2938" o:spid="_x0000_s1026" o:spt="20" style="position:absolute;left:10092;top:484835;height:1;width:443;" filled="f" stroked="t" coordsize="21600,21600" o:gfxdata="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L5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57" o:spid="_x0000_s1026" o:spt="202" type="#_x0000_t202" style="position:absolute;left:10475;top:485442;height:615;width:1289;"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1F2CC16">
                              <w:pPr>
                                <w:spacing w:line="360" w:lineRule="auto"/>
                                <w:jc w:val="center"/>
                                <w:rPr>
                                  <w:bCs/>
                                  <w:szCs w:val="21"/>
                                </w:rPr>
                              </w:pPr>
                              <w:r>
                                <w:rPr>
                                  <w:rFonts w:hint="eastAsia"/>
                                  <w:bCs/>
                                  <w:szCs w:val="21"/>
                                </w:rPr>
                                <w:t>运行使用</w:t>
                              </w:r>
                            </w:p>
                          </w:txbxContent>
                        </v:textbox>
                      </v:shape>
                      <v:line id="直线 58" o:spid="_x0000_s1026" o:spt="20" style="position:absolute;left:8090;top:484095;flip:y;height:491;width:1;" filled="f" stroked="t" coordsize="21600,21600" o:gfxdata="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XSQM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shape id="文本框 59" o:spid="_x0000_s1026" o:spt="202" type="#_x0000_t202" style="position:absolute;left:9168;top:483508;height:532;width:840;"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1697701">
                              <w:pPr>
                                <w:spacing w:line="360" w:lineRule="auto"/>
                                <w:jc w:val="center"/>
                                <w:rPr>
                                  <w:bCs/>
                                  <w:szCs w:val="21"/>
                                </w:rPr>
                              </w:pPr>
                              <w:r>
                                <w:rPr>
                                  <w:rFonts w:hint="eastAsia"/>
                                  <w:bCs/>
                                  <w:szCs w:val="21"/>
                                </w:rPr>
                                <w:t>噪声</w:t>
                              </w:r>
                            </w:p>
                          </w:txbxContent>
                        </v:textbox>
                      </v:shape>
                      <v:line id="直线 60" o:spid="_x0000_s1026" o:spt="20" style="position:absolute;left:8090;top:485052;height:516;width:1;" filled="f" stroked="t" coordsize="21600,21600" o:gfxdata="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JRP8b4A&#10;AADcAAAADwAAAAAAAAABACAAAAAiAAAAZHJzL2Rvd25yZXYueG1sUEsBAhQAFAAAAAgAh07iQDMv&#10;BZ47AAAAOQAAABAAAAAAAAAAAQAgAAAADQEAAGRycy9zaGFwZXhtbC54bWxQSwUGAAAAAAYABgBb&#10;AQAAtwMAAAAA&#10;">
                        <v:fill on="f" focussize="0,0"/>
                        <v:stroke color="#000000" joinstyle="round" dashstyle="dash" endarrow="block"/>
                        <v:imagedata o:title=""/>
                        <o:lock v:ext="edit" aspectratio="f"/>
                      </v:line>
                      <v:shape id="文本框 2847" o:spid="_x0000_s1026" o:spt="202" type="#_x0000_t202" style="position:absolute;left:10549;top:484585;height:465;width:1033;" fillcolor="#FFFFFF" filled="t" stroked="t" coordsize="21600,21600" o:gfxdata="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HWk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inset="0mm,0mm,0mm,0mm">
                          <w:txbxContent>
                            <w:p w14:paraId="6F807C5C">
                              <w:pPr>
                                <w:spacing w:line="360" w:lineRule="auto"/>
                                <w:jc w:val="center"/>
                                <w:rPr>
                                  <w:bCs/>
                                  <w:szCs w:val="21"/>
                                </w:rPr>
                              </w:pPr>
                              <w:r>
                                <w:rPr>
                                  <w:rFonts w:hint="eastAsia"/>
                                  <w:bCs/>
                                  <w:szCs w:val="21"/>
                                </w:rPr>
                                <w:t>工程验收</w:t>
                              </w:r>
                            </w:p>
                          </w:txbxContent>
                        </v:textbox>
                      </v:shape>
                      <v:line id="直线 2938" o:spid="_x0000_s1026" o:spt="20" style="position:absolute;left:8576;top:484835;height:1;width:473;" filled="f" stroked="t" coordsize="21600,21600" o:gfxdata="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vgq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62" o:spid="_x0000_s1026" o:spt="20" style="position:absolute;left:9561;top:484093;flip:x y;height:494;width:14;" filled="f" stroked="t" coordsize="21600,21600" o:gfxdata="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uiTO8AAAA&#10;3A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直线 62" o:spid="_x0000_s1026" o:spt="20" style="position:absolute;left:11105;top:485052;height:526;width:14;" filled="f" stroked="t" coordsize="21600,21600" o:gfxdata="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dc/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61" o:spid="_x0000_s1026" o:spt="202" type="#_x0000_t202" style="position:absolute;left:7318;top:485350;height:582;width:1335;" filled="f" stroked="f" coordsize="21600,21600" o:gfxdata="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mIwt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14:paraId="15C575AD">
                              <w:pPr>
                                <w:spacing w:line="360" w:lineRule="auto"/>
                                <w:jc w:val="center"/>
                                <w:rPr>
                                  <w:bCs/>
                                  <w:szCs w:val="21"/>
                                </w:rPr>
                              </w:pPr>
                              <w:r>
                                <w:rPr>
                                  <w:rFonts w:hint="eastAsia"/>
                                  <w:bCs/>
                                  <w:szCs w:val="21"/>
                                </w:rPr>
                                <w:t>建筑垃圾</w:t>
                              </w:r>
                            </w:p>
                          </w:txbxContent>
                        </v:textbox>
                      </v:shape>
                    </v:group>
                  </w:pict>
                </mc:Fallback>
              </mc:AlternateContent>
            </w:r>
            <w:r>
              <w:rPr>
                <w:b/>
                <w:bCs/>
                <w:snapToGrid w:val="0"/>
                <w:color w:val="auto"/>
                <w:kern w:val="0"/>
                <w:sz w:val="24"/>
              </w:rPr>
              <w:t>施工期</w:t>
            </w:r>
            <w:r>
              <w:rPr>
                <w:rFonts w:hint="eastAsia"/>
                <w:b/>
                <w:bCs/>
                <w:snapToGrid w:val="0"/>
                <w:color w:val="auto"/>
                <w:kern w:val="0"/>
                <w:sz w:val="24"/>
              </w:rPr>
              <w:t>：</w:t>
            </w:r>
          </w:p>
          <w:p w14:paraId="5B73791C">
            <w:pPr>
              <w:spacing w:line="480" w:lineRule="exact"/>
              <w:ind w:firstLine="420" w:firstLineChars="200"/>
              <w:rPr>
                <w:color w:val="auto"/>
              </w:rPr>
            </w:pPr>
          </w:p>
          <w:p w14:paraId="3157EA19">
            <w:pPr>
              <w:spacing w:line="480" w:lineRule="exact"/>
              <w:ind w:firstLine="422" w:firstLineChars="200"/>
              <w:rPr>
                <w:b/>
                <w:bCs/>
                <w:color w:val="auto"/>
              </w:rPr>
            </w:pPr>
          </w:p>
          <w:p w14:paraId="1F6E78BC">
            <w:pPr>
              <w:spacing w:line="480" w:lineRule="exact"/>
              <w:ind w:firstLine="422" w:firstLineChars="200"/>
              <w:rPr>
                <w:b/>
                <w:bCs/>
                <w:color w:val="auto"/>
              </w:rPr>
            </w:pPr>
          </w:p>
          <w:p w14:paraId="4E8E69C7">
            <w:pPr>
              <w:spacing w:line="480" w:lineRule="exact"/>
              <w:rPr>
                <w:b/>
                <w:bCs/>
                <w:color w:val="auto"/>
              </w:rPr>
            </w:pPr>
          </w:p>
          <w:p w14:paraId="57DAB538">
            <w:pPr>
              <w:jc w:val="center"/>
              <w:rPr>
                <w:b/>
                <w:snapToGrid w:val="0"/>
                <w:color w:val="auto"/>
                <w:kern w:val="0"/>
                <w:sz w:val="24"/>
              </w:rPr>
            </w:pPr>
          </w:p>
          <w:p w14:paraId="20684764">
            <w:pPr>
              <w:jc w:val="center"/>
              <w:rPr>
                <w:b/>
                <w:snapToGrid w:val="0"/>
                <w:color w:val="auto"/>
                <w:kern w:val="0"/>
                <w:sz w:val="24"/>
              </w:rPr>
            </w:pPr>
            <w:r>
              <w:rPr>
                <w:b/>
                <w:snapToGrid w:val="0"/>
                <w:color w:val="auto"/>
                <w:kern w:val="0"/>
                <w:sz w:val="24"/>
              </w:rPr>
              <w:t>图2-1  施工期工艺流程及污染节点图</w:t>
            </w:r>
          </w:p>
          <w:p w14:paraId="3EF5DECC">
            <w:pPr>
              <w:ind w:firstLine="482" w:firstLineChars="200"/>
              <w:rPr>
                <w:b/>
                <w:color w:val="auto"/>
                <w:sz w:val="24"/>
              </w:rPr>
            </w:pPr>
          </w:p>
          <w:p w14:paraId="5374C11B">
            <w:pPr>
              <w:spacing w:line="360" w:lineRule="auto"/>
              <w:ind w:firstLine="480" w:firstLineChars="200"/>
              <w:jc w:val="left"/>
              <w:rPr>
                <w:rFonts w:hint="eastAsia"/>
                <w:color w:val="auto"/>
                <w:sz w:val="24"/>
                <w:szCs w:val="32"/>
              </w:rPr>
            </w:pPr>
            <w:r>
              <w:rPr>
                <w:rFonts w:hint="eastAsia"/>
                <w:color w:val="auto"/>
                <w:sz w:val="24"/>
                <w:szCs w:val="32"/>
                <w:lang w:val="en-US" w:eastAsia="zh-CN"/>
              </w:rPr>
              <w:t>本</w:t>
            </w:r>
            <w:r>
              <w:rPr>
                <w:rFonts w:hint="eastAsia"/>
                <w:color w:val="auto"/>
                <w:sz w:val="24"/>
                <w:szCs w:val="32"/>
              </w:rPr>
              <w:t>项目位于</w:t>
            </w:r>
            <w:r>
              <w:rPr>
                <w:rFonts w:hint="eastAsia"/>
                <w:color w:val="auto"/>
                <w:sz w:val="24"/>
                <w:szCs w:val="32"/>
                <w:lang w:val="en-US" w:eastAsia="zh-CN"/>
              </w:rPr>
              <w:t>蚌埠市龙子湖区胜利东路9号（安徽瑞龙玻璃机械股份有限公司）厂房</w:t>
            </w:r>
            <w:r>
              <w:rPr>
                <w:rFonts w:hint="eastAsia"/>
                <w:color w:val="auto"/>
                <w:sz w:val="24"/>
                <w:szCs w:val="32"/>
              </w:rPr>
              <w:t>。</w:t>
            </w:r>
            <w:r>
              <w:rPr>
                <w:rFonts w:hint="eastAsia"/>
                <w:color w:val="auto"/>
                <w:sz w:val="24"/>
                <w:szCs w:val="32"/>
                <w:lang w:val="en-US" w:eastAsia="zh-CN"/>
              </w:rPr>
              <w:t>租赁现有标准化厂房，施工期</w:t>
            </w:r>
            <w:r>
              <w:rPr>
                <w:rFonts w:hint="eastAsia"/>
                <w:color w:val="auto"/>
                <w:sz w:val="24"/>
                <w:szCs w:val="32"/>
              </w:rPr>
              <w:t>对</w:t>
            </w:r>
            <w:r>
              <w:rPr>
                <w:rFonts w:hint="eastAsia"/>
                <w:color w:val="auto"/>
                <w:sz w:val="24"/>
                <w:szCs w:val="32"/>
                <w:lang w:val="en-US" w:eastAsia="zh-CN"/>
              </w:rPr>
              <w:t>生产区</w:t>
            </w:r>
            <w:r>
              <w:rPr>
                <w:rFonts w:hint="eastAsia"/>
                <w:color w:val="auto"/>
                <w:sz w:val="24"/>
                <w:szCs w:val="32"/>
              </w:rPr>
              <w:t>内外进行设备安装。主要大气污染源和污染物有噪声、扬尘、建筑垃圾和施工废水产生。</w:t>
            </w:r>
          </w:p>
          <w:p w14:paraId="79121FC2">
            <w:pPr>
              <w:ind w:firstLine="482" w:firstLineChars="200"/>
              <w:rPr>
                <w:b/>
                <w:color w:val="auto"/>
                <w:sz w:val="24"/>
              </w:rPr>
            </w:pPr>
          </w:p>
          <w:p w14:paraId="76E81F63">
            <w:pPr>
              <w:pStyle w:val="11"/>
              <w:rPr>
                <w:b/>
                <w:color w:val="auto"/>
                <w:sz w:val="24"/>
              </w:rPr>
            </w:pPr>
          </w:p>
          <w:p w14:paraId="393C289F">
            <w:pPr>
              <w:rPr>
                <w:b/>
                <w:color w:val="auto"/>
                <w:sz w:val="24"/>
              </w:rPr>
            </w:pPr>
          </w:p>
          <w:p w14:paraId="1FB7F0B7">
            <w:pPr>
              <w:pStyle w:val="11"/>
              <w:rPr>
                <w:b/>
                <w:color w:val="auto"/>
                <w:sz w:val="24"/>
              </w:rPr>
            </w:pPr>
          </w:p>
          <w:p w14:paraId="607AF5D9">
            <w:pPr>
              <w:rPr>
                <w:b/>
                <w:color w:val="auto"/>
                <w:sz w:val="24"/>
              </w:rPr>
            </w:pPr>
          </w:p>
          <w:p w14:paraId="54B077BA">
            <w:pPr>
              <w:pStyle w:val="11"/>
              <w:rPr>
                <w:b/>
                <w:color w:val="auto"/>
                <w:sz w:val="24"/>
              </w:rPr>
            </w:pPr>
          </w:p>
          <w:p w14:paraId="00FC1930">
            <w:pPr>
              <w:rPr>
                <w:b/>
                <w:color w:val="auto"/>
                <w:sz w:val="24"/>
              </w:rPr>
            </w:pPr>
          </w:p>
          <w:p w14:paraId="3E9E3B54">
            <w:pPr>
              <w:pStyle w:val="11"/>
              <w:rPr>
                <w:b/>
                <w:color w:val="auto"/>
                <w:sz w:val="24"/>
              </w:rPr>
            </w:pPr>
          </w:p>
          <w:p w14:paraId="224174B9">
            <w:pPr>
              <w:rPr>
                <w:b/>
                <w:color w:val="auto"/>
                <w:sz w:val="24"/>
              </w:rPr>
            </w:pPr>
          </w:p>
          <w:p w14:paraId="21426755">
            <w:pPr>
              <w:pStyle w:val="11"/>
              <w:rPr>
                <w:b/>
                <w:color w:val="auto"/>
                <w:sz w:val="24"/>
              </w:rPr>
            </w:pPr>
          </w:p>
          <w:p w14:paraId="42163AFD">
            <w:pPr>
              <w:rPr>
                <w:b/>
                <w:color w:val="auto"/>
                <w:sz w:val="24"/>
              </w:rPr>
            </w:pPr>
          </w:p>
          <w:p w14:paraId="2B54CFFF">
            <w:pPr>
              <w:pStyle w:val="11"/>
              <w:rPr>
                <w:b/>
                <w:color w:val="auto"/>
                <w:sz w:val="24"/>
              </w:rPr>
            </w:pPr>
          </w:p>
          <w:p w14:paraId="726330F1">
            <w:pPr>
              <w:rPr>
                <w:b/>
                <w:color w:val="auto"/>
                <w:sz w:val="24"/>
              </w:rPr>
            </w:pPr>
          </w:p>
          <w:p w14:paraId="2A68D153">
            <w:pPr>
              <w:pStyle w:val="11"/>
              <w:rPr>
                <w:color w:val="auto"/>
              </w:rPr>
            </w:pPr>
          </w:p>
          <w:p w14:paraId="17ECDD98">
            <w:pPr>
              <w:ind w:firstLine="482" w:firstLineChars="200"/>
              <w:rPr>
                <w:rFonts w:hint="eastAsia"/>
                <w:b/>
                <w:color w:val="auto"/>
                <w:sz w:val="24"/>
                <w:lang w:val="en-US" w:eastAsia="zh-CN"/>
              </w:rPr>
            </w:pPr>
          </w:p>
          <w:p w14:paraId="5A49FB27">
            <w:pPr>
              <w:rPr>
                <w:rFonts w:hint="eastAsia"/>
                <w:color w:val="auto"/>
                <w:lang w:val="en-US" w:eastAsia="zh-CN"/>
              </w:rPr>
            </w:pPr>
          </w:p>
          <w:p w14:paraId="1AFB97FE">
            <w:pPr>
              <w:rPr>
                <w:rFonts w:hint="eastAsia"/>
                <w:color w:val="auto"/>
                <w:lang w:val="en-US" w:eastAsia="zh-CN"/>
              </w:rPr>
            </w:pPr>
          </w:p>
          <w:p w14:paraId="160D47DC">
            <w:pPr>
              <w:ind w:firstLine="482" w:firstLineChars="200"/>
              <w:rPr>
                <w:rFonts w:hint="eastAsia"/>
                <w:b/>
                <w:color w:val="auto"/>
                <w:sz w:val="24"/>
                <w:lang w:val="en-US" w:eastAsia="zh-CN"/>
              </w:rPr>
            </w:pPr>
          </w:p>
          <w:p w14:paraId="19308932">
            <w:pPr>
              <w:ind w:firstLine="482" w:firstLineChars="200"/>
              <w:rPr>
                <w:rFonts w:hint="eastAsia"/>
                <w:b/>
                <w:color w:val="auto"/>
                <w:sz w:val="24"/>
                <w:lang w:val="en-US" w:eastAsia="zh-CN"/>
              </w:rPr>
            </w:pPr>
          </w:p>
          <w:p w14:paraId="326EEB5A">
            <w:pPr>
              <w:rPr>
                <w:rFonts w:hint="eastAsia"/>
                <w:b/>
                <w:color w:val="auto"/>
                <w:sz w:val="24"/>
                <w:lang w:val="en-US" w:eastAsia="zh-CN"/>
              </w:rPr>
            </w:pPr>
          </w:p>
          <w:p w14:paraId="3D00D9C3">
            <w:pPr>
              <w:pStyle w:val="5"/>
              <w:rPr>
                <w:rFonts w:hint="eastAsia"/>
                <w:color w:val="auto"/>
                <w:lang w:val="en-US" w:eastAsia="zh-CN"/>
              </w:rPr>
            </w:pPr>
          </w:p>
          <w:p w14:paraId="33F12402">
            <w:pPr>
              <w:ind w:firstLine="482" w:firstLineChars="200"/>
              <w:rPr>
                <w:rFonts w:hint="eastAsia"/>
                <w:b/>
                <w:color w:val="auto"/>
                <w:sz w:val="24"/>
                <w:lang w:val="en-US" w:eastAsia="zh-CN"/>
              </w:rPr>
            </w:pPr>
          </w:p>
          <w:p w14:paraId="7BB31866">
            <w:pPr>
              <w:ind w:firstLine="0" w:firstLineChars="0"/>
              <w:rPr>
                <w:rFonts w:hint="default"/>
                <w:b/>
                <w:color w:val="auto"/>
                <w:sz w:val="24"/>
                <w:lang w:val="en-US" w:eastAsia="zh-CN"/>
              </w:rPr>
            </w:pPr>
            <w:r>
              <w:rPr>
                <w:rFonts w:hint="eastAsia"/>
                <w:b/>
                <w:color w:val="auto"/>
                <w:sz w:val="24"/>
                <w:lang w:val="en-US" w:eastAsia="zh-CN"/>
              </w:rPr>
              <w:t>运营期</w:t>
            </w:r>
          </w:p>
          <w:p w14:paraId="23EBE84B">
            <w:pPr>
              <w:ind w:firstLine="482" w:firstLineChars="200"/>
              <w:rPr>
                <w:rFonts w:hint="eastAsia"/>
                <w:b/>
                <w:snapToGrid w:val="0"/>
                <w:color w:val="auto"/>
                <w:kern w:val="0"/>
                <w:sz w:val="24"/>
              </w:rPr>
            </w:pPr>
            <w:r>
              <w:rPr>
                <w:rFonts w:hint="eastAsia"/>
                <w:b/>
                <w:color w:val="auto"/>
                <w:sz w:val="24"/>
                <w:lang w:val="en-US" w:eastAsia="zh-CN"/>
              </w:rPr>
              <w:t>瓷白粉、纳米氧化钛、高温瓷护剂、复合材料</w:t>
            </w:r>
            <w:r>
              <w:rPr>
                <w:b/>
                <w:color w:val="auto"/>
                <w:sz w:val="24"/>
              </w:rPr>
              <w:t>工艺</w:t>
            </w:r>
            <w:r>
              <w:rPr>
                <w:rFonts w:hint="eastAsia"/>
                <w:b/>
                <w:snapToGrid w:val="0"/>
                <w:color w:val="auto"/>
                <w:kern w:val="0"/>
                <w:sz w:val="24"/>
                <w:lang w:eastAsia="zh-Hans"/>
              </w:rPr>
              <w:t>流程</w:t>
            </w:r>
            <w:r>
              <w:rPr>
                <w:rFonts w:hint="eastAsia"/>
                <w:b/>
                <w:snapToGrid w:val="0"/>
                <w:color w:val="auto"/>
                <w:kern w:val="0"/>
                <w:sz w:val="24"/>
              </w:rPr>
              <w:t>及产污节点图如下：</w:t>
            </w:r>
          </w:p>
          <w:p w14:paraId="3678A93F">
            <w:pPr>
              <w:pStyle w:val="11"/>
              <w:rPr>
                <w:rFonts w:hint="eastAsia"/>
                <w:color w:val="auto"/>
              </w:rPr>
            </w:pPr>
            <w:r>
              <w:rPr>
                <w:rFonts w:hint="eastAsia"/>
                <w:color w:val="auto"/>
              </w:rPr>
              <w:object>
                <v:shape id="_x0000_i1025" o:spt="75" type="#_x0000_t75" style="height:459pt;width:376.8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14:paraId="35C87CC0">
            <w:pPr>
              <w:spacing w:line="400" w:lineRule="atLeast"/>
              <w:jc w:val="center"/>
              <w:rPr>
                <w:b/>
                <w:bCs/>
                <w:color w:val="auto"/>
              </w:rPr>
            </w:pPr>
            <w:r>
              <w:rPr>
                <w:b/>
                <w:color w:val="auto"/>
                <w:sz w:val="24"/>
              </w:rPr>
              <w:t xml:space="preserve">图2-2  </w:t>
            </w:r>
            <w:r>
              <w:rPr>
                <w:rFonts w:hint="eastAsia"/>
                <w:b/>
                <w:color w:val="auto"/>
                <w:sz w:val="24"/>
                <w:lang w:val="en-US" w:eastAsia="zh-CN"/>
              </w:rPr>
              <w:t>瓷白粉、纳米氧化钛、高温瓷护剂、复合材料</w:t>
            </w:r>
            <w:r>
              <w:rPr>
                <w:b/>
                <w:color w:val="auto"/>
                <w:sz w:val="24"/>
              </w:rPr>
              <w:t>工艺流程及污染节点图</w:t>
            </w:r>
          </w:p>
          <w:p w14:paraId="0E5A6DF1">
            <w:pPr>
              <w:spacing w:line="500" w:lineRule="atLeast"/>
              <w:rPr>
                <w:b/>
                <w:bCs/>
                <w:color w:val="auto"/>
                <w:sz w:val="24"/>
              </w:rPr>
            </w:pPr>
          </w:p>
          <w:p w14:paraId="2927AC98">
            <w:pPr>
              <w:spacing w:line="500" w:lineRule="atLeast"/>
              <w:rPr>
                <w:b/>
                <w:bCs/>
                <w:color w:val="auto"/>
                <w:sz w:val="24"/>
              </w:rPr>
            </w:pPr>
            <w:r>
              <w:rPr>
                <w:b/>
                <w:bCs/>
                <w:color w:val="auto"/>
                <w:sz w:val="24"/>
              </w:rPr>
              <w:t>工艺说明：</w:t>
            </w:r>
          </w:p>
          <w:p w14:paraId="4DAD180E">
            <w:pPr>
              <w:ind w:firstLine="0" w:firstLineChars="0"/>
              <w:rPr>
                <w:rFonts w:hint="eastAsia"/>
                <w:b/>
                <w:color w:val="auto"/>
                <w:sz w:val="24"/>
                <w:lang w:val="en-US" w:eastAsia="zh-CN"/>
              </w:rPr>
            </w:pPr>
          </w:p>
          <w:p w14:paraId="33527837">
            <w:pPr>
              <w:numPr>
                <w:ilvl w:val="0"/>
                <w:numId w:val="2"/>
              </w:numPr>
              <w:spacing w:line="360" w:lineRule="auto"/>
              <w:ind w:firstLine="482" w:firstLineChars="200"/>
              <w:jc w:val="left"/>
              <w:rPr>
                <w:rFonts w:hint="eastAsia"/>
                <w:b/>
                <w:color w:val="auto"/>
                <w:sz w:val="24"/>
                <w:lang w:val="en-US" w:eastAsia="zh-CN"/>
              </w:rPr>
            </w:pPr>
            <w:r>
              <w:rPr>
                <w:rFonts w:hint="eastAsia" w:ascii="Times New Roman" w:hAnsi="Times New Roman" w:eastAsia="宋体" w:cs="Times New Roman"/>
                <w:b/>
                <w:bCs w:val="0"/>
                <w:color w:val="auto"/>
                <w:sz w:val="24"/>
                <w:highlight w:val="none"/>
                <w:lang w:eastAsia="zh-CN"/>
              </w:rPr>
              <w:t>投料</w:t>
            </w: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碳酸钙粉、二氧化钛</w:t>
            </w:r>
            <w:r>
              <w:rPr>
                <w:rFonts w:hint="eastAsia" w:ascii="Times New Roman" w:hAnsi="Times New Roman" w:eastAsia="宋体" w:cs="Times New Roman"/>
                <w:bCs/>
                <w:color w:val="auto"/>
                <w:sz w:val="24"/>
                <w:highlight w:val="none"/>
                <w:lang w:eastAsia="zh-CN"/>
              </w:rPr>
              <w:t>等原</w:t>
            </w:r>
            <w:r>
              <w:rPr>
                <w:rFonts w:hint="eastAsia" w:ascii="Times New Roman" w:hAnsi="Times New Roman" w:eastAsia="宋体" w:cs="Times New Roman"/>
                <w:bCs/>
                <w:color w:val="auto"/>
                <w:sz w:val="24"/>
                <w:highlight w:val="none"/>
                <w:lang w:val="en-US" w:eastAsia="zh-CN"/>
              </w:rPr>
              <w:t>辅</w:t>
            </w:r>
            <w:r>
              <w:rPr>
                <w:rFonts w:hint="eastAsia" w:ascii="Times New Roman" w:hAnsi="Times New Roman" w:eastAsia="宋体" w:cs="Times New Roman"/>
                <w:bCs/>
                <w:color w:val="auto"/>
                <w:sz w:val="24"/>
                <w:highlight w:val="none"/>
                <w:lang w:eastAsia="zh-CN"/>
              </w:rPr>
              <w:t>料通过计量泵打入上料口，在投料口将各原料按比例通过计量系统进行投料，投料采用真空投料。真空投料是通过真空投料机投料，真空投料机是一种借助于真空吸力来传送颗粒和粉末状物料的输送设备，其工作原理是真空吸料设备是利用真空泵（文丘里原理）产生真空，真空产生的负压将物料从进料口被吸入。然后在在分离容器的过滤仓内，将空气与物料进行分离。物料因重力作用而自动落下，物料被收集在料仓中。旋风分离器阻止细小粉末进入过滤器，以提高过滤器的效率。待料仓充满物料时，真空泵自动关闭，输送设备内的压力达到平衡。放料阀开启，物料通过出料口流出，并直接落入储料容器。出料时，过滤芯被反吹气囊自动清洁。下料结束出料舱自动关闭，整个输送流程再次启动，在投料过程中会有粉尘G</w:t>
            </w:r>
            <w:r>
              <w:rPr>
                <w:rFonts w:hint="eastAsia" w:ascii="Times New Roman" w:hAnsi="Times New Roman" w:eastAsia="宋体" w:cs="Times New Roman"/>
                <w:bCs/>
                <w:color w:val="auto"/>
                <w:sz w:val="24"/>
                <w:highlight w:val="none"/>
                <w:lang w:val="en-US" w:eastAsia="zh-CN"/>
              </w:rPr>
              <w:t>1-1、G1-2</w:t>
            </w:r>
            <w:r>
              <w:rPr>
                <w:rFonts w:hint="eastAsia" w:ascii="Times New Roman" w:hAnsi="Times New Roman" w:eastAsia="宋体" w:cs="Times New Roman"/>
                <w:bCs/>
                <w:color w:val="auto"/>
                <w:sz w:val="24"/>
                <w:highlight w:val="none"/>
                <w:lang w:eastAsia="zh-CN"/>
              </w:rPr>
              <w:t>产生；</w:t>
            </w:r>
          </w:p>
          <w:p w14:paraId="5C23FDEB">
            <w:pPr>
              <w:numPr>
                <w:ilvl w:val="0"/>
                <w:numId w:val="0"/>
              </w:numPr>
              <w:spacing w:line="360" w:lineRule="auto"/>
              <w:ind w:firstLine="482" w:firstLineChars="200"/>
              <w:jc w:val="left"/>
              <w:rPr>
                <w:rFonts w:hint="eastAsia" w:eastAsia="宋体"/>
                <w:color w:val="auto"/>
                <w:sz w:val="24"/>
                <w:szCs w:val="24"/>
                <w:lang w:val="en-US" w:eastAsia="zh-CN"/>
              </w:rPr>
            </w:pPr>
            <w:r>
              <w:rPr>
                <w:rFonts w:hint="eastAsia" w:ascii="Times New Roman" w:hAnsi="Times New Roman" w:eastAsia="宋体" w:cs="Times New Roman"/>
                <w:b/>
                <w:bCs w:val="0"/>
                <w:color w:val="auto"/>
                <w:sz w:val="24"/>
                <w:highlight w:val="none"/>
                <w:lang w:val="en-US" w:eastAsia="zh-CN"/>
              </w:rPr>
              <w:t>（2）加热搅拌</w:t>
            </w:r>
            <w:r>
              <w:rPr>
                <w:rFonts w:hint="eastAsia" w:ascii="Times New Roman" w:hAnsi="Times New Roman" w:eastAsia="宋体" w:cs="Times New Roman"/>
                <w:bCs/>
                <w:color w:val="auto"/>
                <w:sz w:val="24"/>
                <w:highlight w:val="none"/>
              </w:rPr>
              <w:t>：通过计量系统的原料进入混合机，</w:t>
            </w:r>
            <w:r>
              <w:rPr>
                <w:rFonts w:hint="eastAsia" w:ascii="Times New Roman" w:hAnsi="Times New Roman" w:eastAsia="宋体" w:cs="Times New Roman"/>
                <w:bCs/>
                <w:color w:val="auto"/>
                <w:sz w:val="24"/>
                <w:highlight w:val="none"/>
                <w:lang w:val="en-US" w:eastAsia="zh-CN"/>
              </w:rPr>
              <w:t>利用</w:t>
            </w:r>
            <w:r>
              <w:rPr>
                <w:rFonts w:hint="eastAsia" w:cs="Times New Roman"/>
                <w:bCs/>
                <w:color w:val="auto"/>
                <w:sz w:val="24"/>
                <w:highlight w:val="none"/>
                <w:lang w:val="en-US" w:eastAsia="zh-CN"/>
              </w:rPr>
              <w:t>50℃-100℃的温度进行</w:t>
            </w:r>
            <w:r>
              <w:rPr>
                <w:rFonts w:hint="eastAsia" w:ascii="Times New Roman" w:hAnsi="Times New Roman" w:eastAsia="宋体" w:cs="Times New Roman"/>
                <w:bCs/>
                <w:color w:val="auto"/>
                <w:sz w:val="24"/>
                <w:highlight w:val="none"/>
                <w:lang w:val="en-US" w:eastAsia="zh-CN"/>
              </w:rPr>
              <w:t>加热</w:t>
            </w:r>
            <w:r>
              <w:rPr>
                <w:rFonts w:hint="eastAsia" w:ascii="Times New Roman" w:hAnsi="Times New Roman" w:eastAsia="宋体" w:cs="Times New Roman"/>
                <w:bCs/>
                <w:color w:val="auto"/>
                <w:sz w:val="24"/>
                <w:highlight w:val="none"/>
              </w:rPr>
              <w:t>粉料</w:t>
            </w:r>
            <w:r>
              <w:rPr>
                <w:rFonts w:hint="eastAsia"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并</w:t>
            </w:r>
            <w:r>
              <w:rPr>
                <w:rFonts w:hint="eastAsia" w:cs="Times New Roman"/>
                <w:bCs/>
                <w:color w:val="auto"/>
                <w:sz w:val="24"/>
                <w:highlight w:val="none"/>
                <w:lang w:val="en-US" w:eastAsia="zh-CN"/>
              </w:rPr>
              <w:t>以300r/min的速度</w:t>
            </w:r>
            <w:r>
              <w:rPr>
                <w:rFonts w:hint="eastAsia" w:ascii="Times New Roman" w:hAnsi="Times New Roman" w:eastAsia="宋体" w:cs="Times New Roman"/>
                <w:bCs/>
                <w:color w:val="auto"/>
                <w:sz w:val="24"/>
                <w:highlight w:val="none"/>
                <w:lang w:val="en-US" w:eastAsia="zh-CN"/>
              </w:rPr>
              <w:t>充分搅拌均匀</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szCs w:val="24"/>
                <w:highlight w:val="none"/>
              </w:rPr>
              <w:t>加热搅拌过程密闭</w:t>
            </w:r>
            <w:r>
              <w:rPr>
                <w:rFonts w:hint="eastAsia" w:cs="Times New Roman"/>
                <w:bCs/>
                <w:color w:val="auto"/>
                <w:sz w:val="24"/>
                <w:szCs w:val="24"/>
                <w:highlight w:val="none"/>
                <w:lang w:val="en-US" w:eastAsia="zh-CN"/>
              </w:rPr>
              <w:t>进行</w:t>
            </w:r>
            <w:r>
              <w:rPr>
                <w:rFonts w:hint="eastAsia" w:cs="Times New Roman"/>
                <w:bCs/>
                <w:color w:val="auto"/>
                <w:sz w:val="24"/>
                <w:szCs w:val="24"/>
                <w:highlight w:val="none"/>
                <w:lang w:eastAsia="zh-CN"/>
              </w:rPr>
              <w:t>。</w:t>
            </w:r>
          </w:p>
          <w:p w14:paraId="41FDD67E">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eastAsia="宋体" w:cs="Times New Roman"/>
                <w:b/>
                <w:bCs w:val="0"/>
                <w:color w:val="auto"/>
                <w:sz w:val="24"/>
                <w:highlight w:val="none"/>
                <w:lang w:val="en-US" w:eastAsia="zh-CN"/>
              </w:rPr>
              <w:t>3</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eastAsia="宋体" w:cs="Times New Roman"/>
                <w:b/>
                <w:bCs w:val="0"/>
                <w:color w:val="auto"/>
                <w:sz w:val="24"/>
                <w:highlight w:val="none"/>
                <w:lang w:val="en-US" w:eastAsia="zh-CN"/>
              </w:rPr>
              <w:t>混合搅拌</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加热搅拌过后的原料通过溢流方式</w:t>
            </w:r>
            <w:r>
              <w:rPr>
                <w:rFonts w:hint="eastAsia" w:ascii="Times New Roman" w:hAnsi="Times New Roman" w:eastAsia="宋体" w:cs="Times New Roman"/>
                <w:bCs/>
                <w:color w:val="auto"/>
                <w:sz w:val="24"/>
                <w:highlight w:val="none"/>
              </w:rPr>
              <w:t>进入混合机，使各粉料能够充分混合。</w:t>
            </w:r>
            <w:r>
              <w:rPr>
                <w:rFonts w:hint="eastAsia" w:cs="Times New Roman"/>
                <w:bCs/>
                <w:color w:val="auto"/>
                <w:sz w:val="24"/>
                <w:highlight w:val="none"/>
                <w:lang w:val="en-US" w:eastAsia="zh-CN"/>
              </w:rPr>
              <w:t>搅拌速度为300r/min。混合搅拌过程密闭进行。</w:t>
            </w:r>
          </w:p>
          <w:p w14:paraId="5D5AF7BD">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eastAsia="宋体" w:cs="Times New Roman"/>
                <w:b/>
                <w:bCs w:val="0"/>
                <w:color w:val="auto"/>
                <w:sz w:val="24"/>
                <w:highlight w:val="none"/>
                <w:lang w:val="en-US" w:eastAsia="zh-CN"/>
              </w:rPr>
              <w:t>4</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eastAsia="宋体" w:cs="Times New Roman"/>
                <w:b/>
                <w:bCs w:val="0"/>
                <w:color w:val="auto"/>
                <w:sz w:val="24"/>
                <w:highlight w:val="none"/>
                <w:lang w:val="en-US" w:eastAsia="zh-CN"/>
              </w:rPr>
              <w:t>缓冲仓</w:t>
            </w:r>
            <w:r>
              <w:rPr>
                <w:rFonts w:hint="eastAsia" w:ascii="Times New Roman" w:hAnsi="Times New Roman" w:eastAsia="宋体" w:cs="Times New Roman"/>
                <w:bCs/>
                <w:color w:val="auto"/>
                <w:sz w:val="24"/>
                <w:highlight w:val="none"/>
              </w:rPr>
              <w:t>：将混合好的</w:t>
            </w:r>
            <w:r>
              <w:rPr>
                <w:rFonts w:hint="eastAsia" w:ascii="Times New Roman" w:hAnsi="Times New Roman" w:eastAsia="宋体" w:cs="Times New Roman"/>
                <w:bCs/>
                <w:color w:val="auto"/>
                <w:sz w:val="24"/>
                <w:highlight w:val="none"/>
                <w:lang w:val="en-US" w:eastAsia="zh-CN"/>
              </w:rPr>
              <w:t>半成品溢流送入缓冲料仓。</w:t>
            </w:r>
            <w:r>
              <w:rPr>
                <w:rFonts w:hint="eastAsia" w:ascii="Times New Roman" w:hAnsi="Times New Roman" w:cs="Times New Roman"/>
                <w:b w:val="0"/>
                <w:bCs/>
                <w:color w:val="auto"/>
                <w:sz w:val="24"/>
                <w:highlight w:val="none"/>
                <w:lang w:val="en-US" w:eastAsia="zh-CN"/>
              </w:rPr>
              <w:t>过程中会有</w:t>
            </w:r>
            <w:r>
              <w:rPr>
                <w:rFonts w:hint="eastAsia" w:cs="Times New Roman"/>
                <w:b w:val="0"/>
                <w:bCs/>
                <w:color w:val="auto"/>
                <w:sz w:val="24"/>
                <w:highlight w:val="none"/>
                <w:lang w:val="en-US" w:eastAsia="zh-CN"/>
              </w:rPr>
              <w:t>卸料</w:t>
            </w:r>
            <w:r>
              <w:rPr>
                <w:rFonts w:hint="eastAsia" w:ascii="Times New Roman" w:hAnsi="Times New Roman" w:cs="Times New Roman"/>
                <w:b w:val="0"/>
                <w:bCs/>
                <w:color w:val="auto"/>
                <w:sz w:val="24"/>
                <w:highlight w:val="none"/>
                <w:lang w:val="en-US" w:eastAsia="zh-CN"/>
              </w:rPr>
              <w:t>粉尘G</w:t>
            </w:r>
            <w:r>
              <w:rPr>
                <w:rFonts w:hint="eastAsia" w:cs="Times New Roman"/>
                <w:b w:val="0"/>
                <w:bCs/>
                <w:color w:val="auto"/>
                <w:sz w:val="24"/>
                <w:highlight w:val="none"/>
                <w:lang w:val="en-US" w:eastAsia="zh-CN"/>
              </w:rPr>
              <w:t>2</w:t>
            </w:r>
            <w:r>
              <w:rPr>
                <w:rFonts w:hint="eastAsia" w:ascii="Times New Roman" w:hAnsi="Times New Roman" w:cs="Times New Roman"/>
                <w:b w:val="0"/>
                <w:bCs/>
                <w:color w:val="auto"/>
                <w:sz w:val="24"/>
                <w:highlight w:val="none"/>
                <w:lang w:val="en-US" w:eastAsia="zh-CN"/>
              </w:rPr>
              <w:t>-1产生</w:t>
            </w:r>
            <w:r>
              <w:rPr>
                <w:rFonts w:hint="eastAsia" w:cs="Times New Roman"/>
                <w:b w:val="0"/>
                <w:bCs/>
                <w:color w:val="auto"/>
                <w:sz w:val="24"/>
                <w:highlight w:val="none"/>
                <w:lang w:val="en-US" w:eastAsia="zh-CN"/>
              </w:rPr>
              <w:t>。</w:t>
            </w:r>
          </w:p>
          <w:p w14:paraId="311C371D">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5</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冷却搅拌</w:t>
            </w:r>
            <w:r>
              <w:rPr>
                <w:rFonts w:hint="eastAsia" w:ascii="Times New Roman" w:hAnsi="Times New Roman" w:eastAsia="宋体" w:cs="Times New Roman"/>
                <w:bCs/>
                <w:color w:val="auto"/>
                <w:sz w:val="24"/>
                <w:highlight w:val="none"/>
              </w:rPr>
              <w:t>：将</w:t>
            </w:r>
            <w:r>
              <w:rPr>
                <w:rFonts w:hint="eastAsia" w:ascii="Times New Roman" w:hAnsi="Times New Roman" w:cs="Times New Roman"/>
                <w:bCs/>
                <w:color w:val="auto"/>
                <w:sz w:val="24"/>
                <w:highlight w:val="none"/>
                <w:lang w:val="en-US" w:eastAsia="zh-CN"/>
              </w:rPr>
              <w:t>缓冲仓半成品</w:t>
            </w:r>
            <w:r>
              <w:rPr>
                <w:rFonts w:hint="eastAsia" w:ascii="Times New Roman" w:hAnsi="Times New Roman" w:eastAsia="宋体" w:cs="Times New Roman"/>
                <w:bCs/>
                <w:color w:val="auto"/>
                <w:sz w:val="24"/>
                <w:highlight w:val="none"/>
              </w:rPr>
              <w:t>送入螺杆挤出</w:t>
            </w:r>
            <w:r>
              <w:rPr>
                <w:rFonts w:hint="eastAsia" w:ascii="Times New Roman" w:hAnsi="Times New Roman" w:cs="Times New Roman"/>
                <w:bCs/>
                <w:color w:val="auto"/>
                <w:sz w:val="24"/>
                <w:highlight w:val="none"/>
                <w:lang w:eastAsia="zh-CN"/>
              </w:rPr>
              <w:t>，</w:t>
            </w:r>
            <w:r>
              <w:rPr>
                <w:rFonts w:hint="eastAsia" w:ascii="Times New Roman" w:hAnsi="Times New Roman" w:eastAsia="宋体" w:cs="Times New Roman"/>
                <w:bCs/>
                <w:color w:val="auto"/>
                <w:sz w:val="24"/>
                <w:highlight w:val="none"/>
              </w:rPr>
              <w:t>挤出成型的半成品通过缓冷方式进行冷却，</w:t>
            </w:r>
            <w:r>
              <w:rPr>
                <w:rFonts w:hint="eastAsia" w:ascii="Times New Roman" w:hAnsi="Times New Roman" w:eastAsia="宋体" w:cs="Times New Roman"/>
                <w:bCs/>
                <w:color w:val="auto"/>
                <w:sz w:val="24"/>
                <w:highlight w:val="none"/>
                <w:lang w:val="en-US" w:eastAsia="zh-CN"/>
              </w:rPr>
              <w:t>并再次搅拌。</w:t>
            </w:r>
            <w:r>
              <w:rPr>
                <w:rFonts w:hint="eastAsia" w:ascii="Times New Roman" w:hAnsi="Times New Roman" w:eastAsia="宋体" w:cs="Times New Roman"/>
                <w:bCs/>
                <w:color w:val="auto"/>
                <w:sz w:val="24"/>
                <w:highlight w:val="none"/>
              </w:rPr>
              <w:t>缓冷主要为通过滚轮的滚压进行缓慢冷却。</w:t>
            </w:r>
            <w:r>
              <w:rPr>
                <w:rFonts w:hint="eastAsia" w:cs="Times New Roman"/>
                <w:bCs/>
                <w:color w:val="auto"/>
                <w:sz w:val="24"/>
                <w:highlight w:val="none"/>
                <w:lang w:val="en-US" w:eastAsia="zh-CN"/>
              </w:rPr>
              <w:t>搅拌速度为300r/min。冷却搅拌过程密闭进行。</w:t>
            </w:r>
          </w:p>
          <w:p w14:paraId="46C4380D">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6</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检验：</w:t>
            </w:r>
            <w:r>
              <w:rPr>
                <w:rFonts w:hint="default" w:ascii="Times New Roman" w:hAnsi="Times New Roman" w:eastAsia="宋体" w:cs="Times New Roman"/>
                <w:bCs/>
                <w:color w:val="auto"/>
                <w:sz w:val="24"/>
                <w:highlight w:val="none"/>
              </w:rPr>
              <w:t>产品经人工检验</w:t>
            </w:r>
            <w:r>
              <w:rPr>
                <w:rFonts w:hint="eastAsia" w:ascii="Times New Roman" w:hAnsi="Times New Roman" w:eastAsia="宋体" w:cs="Times New Roman"/>
                <w:bCs/>
                <w:color w:val="auto"/>
                <w:sz w:val="24"/>
                <w:highlight w:val="none"/>
                <w:lang w:eastAsia="zh-CN"/>
              </w:rPr>
              <w:t>，</w:t>
            </w:r>
            <w:r>
              <w:rPr>
                <w:rFonts w:hint="eastAsia" w:cs="Times New Roman"/>
                <w:bCs/>
                <w:color w:val="auto"/>
                <w:sz w:val="24"/>
                <w:highlight w:val="none"/>
                <w:lang w:val="en-US" w:eastAsia="zh-CN"/>
              </w:rPr>
              <w:t>不合格品重新加工，</w:t>
            </w:r>
            <w:r>
              <w:rPr>
                <w:rFonts w:hint="eastAsia" w:ascii="Times New Roman" w:hAnsi="Times New Roman" w:eastAsia="宋体" w:cs="Times New Roman"/>
                <w:bCs/>
                <w:color w:val="auto"/>
                <w:sz w:val="24"/>
                <w:highlight w:val="none"/>
                <w:lang w:val="en-US" w:eastAsia="zh-CN"/>
              </w:rPr>
              <w:t>合格后即可包装入库</w:t>
            </w:r>
            <w:r>
              <w:rPr>
                <w:rFonts w:hint="eastAsia" w:cs="Times New Roman"/>
                <w:bCs/>
                <w:color w:val="auto"/>
                <w:sz w:val="24"/>
                <w:highlight w:val="none"/>
                <w:lang w:val="en-US" w:eastAsia="zh-CN"/>
              </w:rPr>
              <w:t>。过程中会有固废S1-1产生。</w:t>
            </w:r>
          </w:p>
          <w:p w14:paraId="1FF90C56">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7</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包装入库：</w:t>
            </w:r>
            <w:r>
              <w:rPr>
                <w:rFonts w:hint="eastAsia" w:ascii="Times New Roman" w:hAnsi="Times New Roman" w:cs="Times New Roman"/>
                <w:b w:val="0"/>
                <w:bCs/>
                <w:color w:val="auto"/>
                <w:sz w:val="24"/>
                <w:highlight w:val="none"/>
                <w:lang w:val="en-US" w:eastAsia="zh-CN"/>
              </w:rPr>
              <w:t>检验合格的成品按规格用自动包装机进行包装入库，过程中会有包装粉尘G</w:t>
            </w:r>
            <w:r>
              <w:rPr>
                <w:rFonts w:hint="eastAsia" w:cs="Times New Roman"/>
                <w:b w:val="0"/>
                <w:bCs/>
                <w:color w:val="auto"/>
                <w:sz w:val="24"/>
                <w:highlight w:val="none"/>
                <w:lang w:val="en-US" w:eastAsia="zh-CN"/>
              </w:rPr>
              <w:t>3</w:t>
            </w:r>
            <w:r>
              <w:rPr>
                <w:rFonts w:hint="eastAsia" w:ascii="Times New Roman" w:hAnsi="Times New Roman" w:cs="Times New Roman"/>
                <w:b w:val="0"/>
                <w:bCs/>
                <w:color w:val="auto"/>
                <w:sz w:val="24"/>
                <w:highlight w:val="none"/>
                <w:lang w:val="en-US" w:eastAsia="zh-CN"/>
              </w:rPr>
              <w:t>-1产生。</w:t>
            </w:r>
          </w:p>
          <w:p w14:paraId="3DD67D4E">
            <w:pPr>
              <w:numPr>
                <w:ilvl w:val="-1"/>
                <w:numId w:val="0"/>
              </w:numPr>
              <w:spacing w:line="360" w:lineRule="auto"/>
              <w:ind w:left="0" w:leftChars="0" w:firstLine="480" w:firstLineChars="200"/>
              <w:jc w:val="left"/>
              <w:rPr>
                <w:rFonts w:hint="default" w:ascii="Times New Roman" w:hAnsi="Times New Roman" w:eastAsia="宋体" w:cs="Times New Roman"/>
                <w:bCs/>
                <w:color w:val="auto"/>
                <w:sz w:val="24"/>
                <w:highlight w:val="none"/>
                <w:lang w:val="en-US" w:eastAsia="zh-CN"/>
              </w:rPr>
            </w:pPr>
          </w:p>
          <w:p w14:paraId="6C4381AD">
            <w:pPr>
              <w:numPr>
                <w:ilvl w:val="-1"/>
                <w:numId w:val="0"/>
              </w:numPr>
              <w:spacing w:line="360" w:lineRule="auto"/>
              <w:ind w:left="0" w:leftChars="0" w:firstLine="480" w:firstLineChars="200"/>
              <w:jc w:val="left"/>
              <w:rPr>
                <w:rFonts w:hint="eastAsia" w:ascii="Times New Roman" w:hAnsi="Times New Roman" w:eastAsia="宋体" w:cs="Times New Roman"/>
                <w:bCs/>
                <w:color w:val="auto"/>
                <w:sz w:val="24"/>
                <w:highlight w:val="none"/>
              </w:rPr>
            </w:pPr>
          </w:p>
          <w:p w14:paraId="45271494">
            <w:pPr>
              <w:ind w:firstLine="482" w:firstLineChars="200"/>
              <w:rPr>
                <w:rFonts w:hint="eastAsia"/>
                <w:b/>
                <w:color w:val="auto"/>
                <w:sz w:val="24"/>
                <w:lang w:val="en-US" w:eastAsia="zh-CN"/>
              </w:rPr>
            </w:pPr>
          </w:p>
          <w:p w14:paraId="6A559BE8">
            <w:pPr>
              <w:ind w:firstLine="482" w:firstLineChars="200"/>
              <w:rPr>
                <w:rFonts w:hint="eastAsia"/>
                <w:b/>
                <w:color w:val="auto"/>
                <w:sz w:val="24"/>
                <w:lang w:val="en-US" w:eastAsia="zh-CN"/>
              </w:rPr>
            </w:pPr>
          </w:p>
          <w:p w14:paraId="460C7F9E">
            <w:pPr>
              <w:ind w:firstLine="482" w:firstLineChars="200"/>
              <w:rPr>
                <w:rFonts w:hint="eastAsia"/>
                <w:b/>
                <w:color w:val="auto"/>
                <w:sz w:val="24"/>
                <w:lang w:val="en-US" w:eastAsia="zh-CN"/>
              </w:rPr>
            </w:pPr>
          </w:p>
          <w:p w14:paraId="68005599">
            <w:pPr>
              <w:ind w:firstLine="482" w:firstLineChars="200"/>
              <w:rPr>
                <w:rFonts w:hint="eastAsia"/>
                <w:b/>
                <w:color w:val="auto"/>
                <w:sz w:val="24"/>
                <w:lang w:val="en-US" w:eastAsia="zh-CN"/>
              </w:rPr>
            </w:pPr>
          </w:p>
          <w:p w14:paraId="11BFC5B8">
            <w:pPr>
              <w:ind w:firstLine="482" w:firstLineChars="200"/>
              <w:rPr>
                <w:rFonts w:hint="eastAsia"/>
                <w:b/>
                <w:color w:val="auto"/>
                <w:sz w:val="24"/>
                <w:lang w:val="en-US" w:eastAsia="zh-CN"/>
              </w:rPr>
            </w:pPr>
          </w:p>
          <w:p w14:paraId="4265E740">
            <w:pPr>
              <w:ind w:firstLine="482" w:firstLineChars="200"/>
              <w:rPr>
                <w:rFonts w:hint="eastAsia"/>
                <w:b/>
                <w:color w:val="auto"/>
                <w:sz w:val="24"/>
                <w:lang w:val="en-US" w:eastAsia="zh-CN"/>
              </w:rPr>
            </w:pPr>
          </w:p>
          <w:p w14:paraId="3232901E">
            <w:pPr>
              <w:pStyle w:val="5"/>
              <w:rPr>
                <w:rFonts w:hint="eastAsia"/>
                <w:lang w:val="en-US" w:eastAsia="zh-CN"/>
              </w:rPr>
            </w:pPr>
          </w:p>
          <w:p w14:paraId="75202FC7">
            <w:pPr>
              <w:ind w:firstLine="482" w:firstLineChars="200"/>
              <w:rPr>
                <w:rFonts w:hint="eastAsia"/>
                <w:b/>
                <w:color w:val="auto"/>
                <w:sz w:val="24"/>
                <w:lang w:val="en-US" w:eastAsia="zh-CN"/>
              </w:rPr>
            </w:pPr>
          </w:p>
          <w:p w14:paraId="0E78C530">
            <w:pPr>
              <w:ind w:firstLine="482" w:firstLineChars="200"/>
              <w:rPr>
                <w:rFonts w:hint="eastAsia"/>
                <w:b/>
                <w:color w:val="auto"/>
                <w:sz w:val="24"/>
                <w:lang w:val="en-US" w:eastAsia="zh-CN"/>
              </w:rPr>
            </w:pPr>
          </w:p>
          <w:p w14:paraId="06E467DA">
            <w:pPr>
              <w:ind w:firstLine="482" w:firstLineChars="200"/>
              <w:rPr>
                <w:rFonts w:hint="eastAsia"/>
                <w:b/>
                <w:color w:val="auto"/>
                <w:sz w:val="24"/>
                <w:lang w:val="en-US" w:eastAsia="zh-CN"/>
              </w:rPr>
            </w:pPr>
          </w:p>
          <w:p w14:paraId="329DA8B3">
            <w:pPr>
              <w:ind w:firstLine="482" w:firstLineChars="200"/>
              <w:rPr>
                <w:rFonts w:hint="eastAsia"/>
                <w:b/>
                <w:snapToGrid w:val="0"/>
                <w:color w:val="auto"/>
                <w:kern w:val="0"/>
                <w:sz w:val="24"/>
              </w:rPr>
            </w:pPr>
            <w:r>
              <w:rPr>
                <w:rFonts w:hint="eastAsia"/>
                <w:b/>
                <w:color w:val="auto"/>
                <w:sz w:val="24"/>
                <w:lang w:val="en-US" w:eastAsia="zh-CN"/>
              </w:rPr>
              <w:t>优宝纤维</w:t>
            </w:r>
            <w:r>
              <w:rPr>
                <w:b/>
                <w:color w:val="auto"/>
                <w:sz w:val="24"/>
              </w:rPr>
              <w:t>工艺</w:t>
            </w:r>
            <w:r>
              <w:rPr>
                <w:rFonts w:hint="eastAsia"/>
                <w:b/>
                <w:snapToGrid w:val="0"/>
                <w:color w:val="auto"/>
                <w:kern w:val="0"/>
                <w:sz w:val="24"/>
                <w:lang w:eastAsia="zh-Hans"/>
              </w:rPr>
              <w:t>流程</w:t>
            </w:r>
            <w:r>
              <w:rPr>
                <w:rFonts w:hint="eastAsia"/>
                <w:b/>
                <w:snapToGrid w:val="0"/>
                <w:color w:val="auto"/>
                <w:kern w:val="0"/>
                <w:sz w:val="24"/>
              </w:rPr>
              <w:t>及产污节点图如下：</w:t>
            </w:r>
          </w:p>
          <w:p w14:paraId="4010B02F">
            <w:pPr>
              <w:spacing w:line="400" w:lineRule="atLeast"/>
              <w:jc w:val="center"/>
              <w:rPr>
                <w:color w:val="auto"/>
              </w:rPr>
            </w:pPr>
            <w:r>
              <w:rPr>
                <w:color w:val="auto"/>
              </w:rPr>
              <w:object>
                <v:shape id="_x0000_i1026" o:spt="75" type="#_x0000_t75" style="height:452.4pt;width:247.8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14:paraId="1B00DB3E">
            <w:pPr>
              <w:spacing w:line="400" w:lineRule="atLeast"/>
              <w:jc w:val="center"/>
              <w:rPr>
                <w:b/>
                <w:bCs/>
                <w:color w:val="auto"/>
              </w:rPr>
            </w:pPr>
            <w:r>
              <w:rPr>
                <w:b/>
                <w:color w:val="auto"/>
                <w:sz w:val="24"/>
              </w:rPr>
              <w:t>图2-</w:t>
            </w:r>
            <w:r>
              <w:rPr>
                <w:rFonts w:hint="eastAsia"/>
                <w:b/>
                <w:color w:val="auto"/>
                <w:sz w:val="24"/>
                <w:lang w:val="en-US" w:eastAsia="zh-CN"/>
              </w:rPr>
              <w:t>3</w:t>
            </w:r>
            <w:r>
              <w:rPr>
                <w:b/>
                <w:color w:val="auto"/>
                <w:sz w:val="24"/>
              </w:rPr>
              <w:t xml:space="preserve">   </w:t>
            </w:r>
            <w:r>
              <w:rPr>
                <w:rFonts w:hint="eastAsia"/>
                <w:b/>
                <w:color w:val="auto"/>
                <w:sz w:val="24"/>
                <w:lang w:val="en-US" w:eastAsia="zh-CN"/>
              </w:rPr>
              <w:t>优宝纤维</w:t>
            </w:r>
            <w:r>
              <w:rPr>
                <w:b/>
                <w:color w:val="auto"/>
                <w:sz w:val="24"/>
              </w:rPr>
              <w:t>工艺流程及污染节点图</w:t>
            </w:r>
          </w:p>
          <w:p w14:paraId="1B39A482">
            <w:pPr>
              <w:pStyle w:val="11"/>
              <w:jc w:val="center"/>
              <w:rPr>
                <w:rFonts w:hint="eastAsia"/>
                <w:color w:val="auto"/>
              </w:rPr>
            </w:pPr>
          </w:p>
          <w:p w14:paraId="6BB1F95D">
            <w:pPr>
              <w:spacing w:line="500" w:lineRule="atLeast"/>
              <w:rPr>
                <w:b/>
                <w:bCs/>
                <w:color w:val="auto"/>
                <w:sz w:val="24"/>
              </w:rPr>
            </w:pPr>
            <w:r>
              <w:rPr>
                <w:b/>
                <w:bCs/>
                <w:color w:val="auto"/>
                <w:sz w:val="24"/>
              </w:rPr>
              <w:t>工艺说明：</w:t>
            </w:r>
          </w:p>
          <w:p w14:paraId="457BB5DB">
            <w:pPr>
              <w:ind w:firstLine="0" w:firstLineChars="0"/>
              <w:rPr>
                <w:rFonts w:hint="eastAsia"/>
                <w:b/>
                <w:color w:val="auto"/>
                <w:sz w:val="24"/>
                <w:lang w:val="en-US" w:eastAsia="zh-CN"/>
              </w:rPr>
            </w:pPr>
          </w:p>
          <w:p w14:paraId="06634172">
            <w:pPr>
              <w:numPr>
                <w:ilvl w:val="-1"/>
                <w:numId w:val="0"/>
              </w:numPr>
              <w:spacing w:line="360" w:lineRule="auto"/>
              <w:ind w:firstLine="482" w:firstLineChars="200"/>
              <w:jc w:val="left"/>
              <w:rPr>
                <w:rFonts w:hint="eastAsia" w:ascii="Times New Roman" w:hAnsi="Times New Roman" w:eastAsia="宋体" w:cs="Times New Roman"/>
                <w:bCs/>
                <w:color w:val="auto"/>
                <w:sz w:val="24"/>
                <w:highlight w:val="none"/>
                <w:lang w:eastAsia="zh-CN"/>
              </w:rPr>
            </w:pPr>
            <w:r>
              <w:rPr>
                <w:rFonts w:hint="eastAsia" w:ascii="Times New Roman" w:hAnsi="Times New Roman" w:cs="Times New Roman"/>
                <w:b/>
                <w:bCs w:val="0"/>
                <w:color w:val="auto"/>
                <w:sz w:val="24"/>
                <w:highlight w:val="none"/>
                <w:lang w:val="en-US" w:eastAsia="zh-CN"/>
              </w:rPr>
              <w:t>(1)</w:t>
            </w:r>
            <w:r>
              <w:rPr>
                <w:rFonts w:hint="eastAsia" w:ascii="Times New Roman" w:hAnsi="Times New Roman" w:eastAsia="宋体" w:cs="Times New Roman"/>
                <w:b/>
                <w:bCs w:val="0"/>
                <w:color w:val="auto"/>
                <w:sz w:val="24"/>
                <w:highlight w:val="none"/>
                <w:lang w:eastAsia="zh-CN"/>
              </w:rPr>
              <w:t>投料</w:t>
            </w:r>
            <w:r>
              <w:rPr>
                <w:rFonts w:hint="eastAsia" w:ascii="Times New Roman" w:hAnsi="Times New Roman" w:eastAsia="宋体" w:cs="Times New Roman"/>
                <w:bCs/>
                <w:color w:val="auto"/>
                <w:sz w:val="24"/>
                <w:highlight w:val="none"/>
                <w:lang w:eastAsia="zh-CN"/>
              </w:rPr>
              <w:t>：外购的</w:t>
            </w:r>
            <w:r>
              <w:rPr>
                <w:rFonts w:hint="eastAsia" w:ascii="Times New Roman" w:hAnsi="Times New Roman" w:eastAsia="宋体" w:cs="Times New Roman"/>
                <w:bCs/>
                <w:color w:val="auto"/>
                <w:sz w:val="24"/>
                <w:highlight w:val="none"/>
                <w:lang w:val="en-US" w:eastAsia="zh-CN"/>
              </w:rPr>
              <w:t>纤维及填料</w:t>
            </w:r>
            <w:r>
              <w:rPr>
                <w:rFonts w:hint="eastAsia" w:ascii="Times New Roman" w:hAnsi="Times New Roman" w:eastAsia="宋体" w:cs="Times New Roman"/>
                <w:bCs/>
                <w:color w:val="auto"/>
                <w:sz w:val="24"/>
                <w:highlight w:val="none"/>
                <w:lang w:eastAsia="zh-CN"/>
              </w:rPr>
              <w:t>通过计量泵打入上料口，在投料口将各原料按比例通过计量系统进行投料，</w:t>
            </w:r>
            <w:bookmarkStart w:id="5" w:name="OLE_LINK324"/>
            <w:bookmarkStart w:id="6" w:name="OLE_LINK561"/>
            <w:bookmarkStart w:id="7" w:name="OLE_LINK578"/>
            <w:bookmarkStart w:id="8" w:name="OLE_LINK562"/>
            <w:bookmarkStart w:id="9" w:name="OLE_LINK323"/>
            <w:r>
              <w:rPr>
                <w:rFonts w:hint="eastAsia" w:ascii="Times New Roman" w:hAnsi="Times New Roman" w:eastAsia="宋体" w:cs="Times New Roman"/>
                <w:bCs/>
                <w:color w:val="auto"/>
                <w:sz w:val="24"/>
                <w:highlight w:val="none"/>
                <w:lang w:eastAsia="zh-CN"/>
              </w:rPr>
              <w:t>投料采用真空投料。</w:t>
            </w:r>
            <w:bookmarkEnd w:id="5"/>
            <w:bookmarkEnd w:id="6"/>
            <w:bookmarkEnd w:id="7"/>
            <w:bookmarkEnd w:id="8"/>
            <w:bookmarkEnd w:id="9"/>
            <w:r>
              <w:rPr>
                <w:rFonts w:hint="eastAsia" w:ascii="Times New Roman" w:hAnsi="Times New Roman" w:eastAsia="宋体" w:cs="Times New Roman"/>
                <w:bCs/>
                <w:color w:val="auto"/>
                <w:sz w:val="24"/>
                <w:highlight w:val="none"/>
                <w:lang w:eastAsia="zh-CN"/>
              </w:rPr>
              <w:t>。真空投料是通过真空投料机投料，真空投料机是一种借助于真空吸力来传送颗粒和粉末状物料的输送设备，其工作原理是真空吸料设备是利用真空泵（文丘里原理）产生真空，真空产生的负压将物料从进料口被吸入。然后在在分离容器的过滤仓内，将空气与物料进行分离。物料因重力作用而自动落下，物料被收集在料仓中。旋风分离器阻止细小粉末进入过滤器，以提高过滤器的效率。待料仓充满物料时，真空泵自动关闭，输送设备内的压力达到平衡。放料阀开启，物料通过出料口流出，并直接落入储料容器。出料时，过滤芯被反吹气囊自动清洁。下料结束出料舱自动关闭，整个输送流程再次启动，在投料过程中会有粉尘G</w:t>
            </w:r>
            <w:r>
              <w:rPr>
                <w:rFonts w:hint="eastAsia" w:ascii="Times New Roman" w:hAnsi="Times New Roman" w:eastAsia="宋体" w:cs="Times New Roman"/>
                <w:bCs/>
                <w:color w:val="auto"/>
                <w:sz w:val="24"/>
                <w:highlight w:val="none"/>
                <w:lang w:val="en-US" w:eastAsia="zh-CN"/>
              </w:rPr>
              <w:t>1-3</w:t>
            </w:r>
            <w:r>
              <w:rPr>
                <w:rFonts w:hint="eastAsia" w:ascii="Times New Roman" w:hAnsi="Times New Roman" w:eastAsia="宋体" w:cs="Times New Roman"/>
                <w:bCs/>
                <w:color w:val="auto"/>
                <w:sz w:val="24"/>
                <w:highlight w:val="none"/>
                <w:lang w:eastAsia="zh-CN"/>
              </w:rPr>
              <w:t>产生；</w:t>
            </w:r>
          </w:p>
          <w:p w14:paraId="2887ECBD">
            <w:pPr>
              <w:numPr>
                <w:ilvl w:val="0"/>
                <w:numId w:val="0"/>
              </w:numPr>
              <w:spacing w:line="360" w:lineRule="auto"/>
              <w:ind w:firstLine="482" w:firstLineChars="200"/>
              <w:jc w:val="left"/>
              <w:rPr>
                <w:rFonts w:hint="default" w:eastAsia="宋体"/>
                <w:color w:val="auto"/>
                <w:lang w:val="en-US" w:eastAsia="zh-CN"/>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2</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eastAsia="宋体" w:cs="Times New Roman"/>
                <w:b/>
                <w:bCs w:val="0"/>
                <w:color w:val="auto"/>
                <w:sz w:val="24"/>
                <w:highlight w:val="none"/>
                <w:lang w:val="en-US" w:eastAsia="zh-CN"/>
              </w:rPr>
              <w:t>混合搅拌</w:t>
            </w:r>
            <w:r>
              <w:rPr>
                <w:rFonts w:hint="eastAsia" w:ascii="Times New Roman" w:hAnsi="Times New Roman" w:eastAsia="宋体" w:cs="Times New Roman"/>
                <w:bCs/>
                <w:color w:val="auto"/>
                <w:sz w:val="24"/>
                <w:highlight w:val="none"/>
              </w:rPr>
              <w:t>：通过计量系统的原</w:t>
            </w:r>
            <w:r>
              <w:rPr>
                <w:rFonts w:hint="eastAsia" w:ascii="Times New Roman" w:hAnsi="Times New Roman" w:cs="Times New Roman"/>
                <w:bCs/>
                <w:color w:val="auto"/>
                <w:sz w:val="24"/>
                <w:highlight w:val="none"/>
                <w:lang w:val="en-US" w:eastAsia="zh-CN"/>
              </w:rPr>
              <w:t>辅料</w:t>
            </w:r>
            <w:r>
              <w:rPr>
                <w:rFonts w:hint="eastAsia" w:ascii="Times New Roman" w:hAnsi="Times New Roman" w:eastAsia="宋体" w:cs="Times New Roman"/>
                <w:bCs/>
                <w:color w:val="auto"/>
                <w:sz w:val="24"/>
                <w:highlight w:val="none"/>
              </w:rPr>
              <w:t>进入混合机，</w:t>
            </w:r>
            <w:r>
              <w:rPr>
                <w:rFonts w:hint="eastAsia" w:ascii="Times New Roman" w:hAnsi="Times New Roman" w:eastAsia="宋体" w:cs="Times New Roman"/>
                <w:bCs/>
                <w:color w:val="auto"/>
                <w:sz w:val="24"/>
                <w:highlight w:val="none"/>
                <w:lang w:val="en-US" w:eastAsia="zh-CN"/>
              </w:rPr>
              <w:t>充分搅拌均匀</w:t>
            </w:r>
            <w:r>
              <w:rPr>
                <w:rFonts w:hint="eastAsia" w:cs="Times New Roman"/>
                <w:bCs/>
                <w:color w:val="auto"/>
                <w:sz w:val="24"/>
                <w:highlight w:val="none"/>
                <w:lang w:val="en-US" w:eastAsia="zh-CN"/>
              </w:rPr>
              <w:t>，速度为300r/min</w:t>
            </w:r>
            <w:r>
              <w:rPr>
                <w:rFonts w:hint="eastAsia" w:ascii="Times New Roman" w:hAnsi="Times New Roman" w:eastAsia="宋体" w:cs="Times New Roman"/>
                <w:bCs/>
                <w:color w:val="auto"/>
                <w:sz w:val="24"/>
                <w:highlight w:val="none"/>
              </w:rPr>
              <w:t>。</w:t>
            </w:r>
            <w:r>
              <w:rPr>
                <w:rFonts w:hint="eastAsia" w:ascii="Times New Roman" w:hAnsi="Times New Roman" w:cs="Times New Roman"/>
                <w:bCs/>
                <w:color w:val="auto"/>
                <w:sz w:val="24"/>
                <w:highlight w:val="none"/>
                <w:lang w:val="en-US" w:eastAsia="zh-CN"/>
              </w:rPr>
              <w:t>全过程密闭进行。</w:t>
            </w:r>
          </w:p>
          <w:p w14:paraId="6A4F41DC">
            <w:pPr>
              <w:numPr>
                <w:ilvl w:val="-1"/>
                <w:numId w:val="0"/>
              </w:numPr>
              <w:spacing w:line="360" w:lineRule="auto"/>
              <w:ind w:left="0" w:leftChars="0" w:firstLine="482" w:firstLineChars="200"/>
              <w:jc w:val="left"/>
              <w:rPr>
                <w:rFonts w:hint="default" w:ascii="Times New Roman" w:hAnsi="Times New Roman" w:eastAsia="宋体" w:cs="Times New Roman"/>
                <w:b w:val="0"/>
                <w:bCs/>
                <w:color w:val="auto"/>
                <w:sz w:val="24"/>
                <w:highlight w:val="none"/>
                <w:lang w:val="en-US" w:eastAsia="zh-CN"/>
              </w:rPr>
            </w:pPr>
            <w:r>
              <w:rPr>
                <w:rFonts w:hint="eastAsia" w:ascii="Times New Roman" w:hAnsi="Times New Roman"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3</w:t>
            </w:r>
            <w:r>
              <w:rPr>
                <w:rFonts w:hint="eastAsia" w:ascii="Times New Roman" w:hAnsi="Times New Roman"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打散：</w:t>
            </w:r>
            <w:r>
              <w:rPr>
                <w:rFonts w:hint="eastAsia" w:ascii="Times New Roman" w:hAnsi="Times New Roman" w:cs="Times New Roman"/>
                <w:b w:val="0"/>
                <w:bCs/>
                <w:color w:val="auto"/>
                <w:sz w:val="24"/>
                <w:highlight w:val="none"/>
                <w:lang w:val="en-US" w:eastAsia="zh-CN"/>
              </w:rPr>
              <w:t>原料经螺旋送入打散腔内，经高速旋转的转子对原料进行冲击、剪切，使物料粉碎还原。</w:t>
            </w:r>
            <w:r>
              <w:rPr>
                <w:rFonts w:hint="eastAsia" w:ascii="Times New Roman" w:hAnsi="Times New Roman" w:cs="Times New Roman"/>
                <w:bCs/>
                <w:color w:val="auto"/>
                <w:sz w:val="24"/>
                <w:highlight w:val="none"/>
                <w:lang w:val="en-US" w:eastAsia="zh-CN"/>
              </w:rPr>
              <w:t>全过程密闭进行</w:t>
            </w:r>
            <w:r>
              <w:rPr>
                <w:rFonts w:hint="eastAsia" w:cs="Times New Roman"/>
                <w:bCs/>
                <w:color w:val="auto"/>
                <w:sz w:val="24"/>
                <w:highlight w:val="none"/>
                <w:lang w:val="en-US" w:eastAsia="zh-CN"/>
              </w:rPr>
              <w:t>。</w:t>
            </w:r>
          </w:p>
          <w:p w14:paraId="5DCF8489">
            <w:pPr>
              <w:numPr>
                <w:ilvl w:val="-1"/>
                <w:numId w:val="0"/>
              </w:numPr>
              <w:spacing w:line="360" w:lineRule="auto"/>
              <w:ind w:left="0" w:leftChars="0" w:firstLine="482" w:firstLineChars="200"/>
              <w:jc w:val="left"/>
              <w:rPr>
                <w:rFonts w:hint="default" w:ascii="Times New Roman" w:hAnsi="Times New Roman" w:eastAsia="宋体" w:cs="Times New Roman"/>
                <w:b w:val="0"/>
                <w:bCs/>
                <w:color w:val="auto"/>
                <w:sz w:val="24"/>
                <w:highlight w:val="none"/>
                <w:lang w:val="en-US" w:eastAsia="zh-CN"/>
              </w:rPr>
            </w:pPr>
            <w:r>
              <w:rPr>
                <w:rFonts w:hint="eastAsia"/>
                <w:b/>
                <w:bCs/>
                <w:color w:val="auto"/>
                <w:sz w:val="24"/>
                <w:lang w:eastAsia="zh-CN"/>
              </w:rPr>
              <w:t>（</w:t>
            </w:r>
            <w:r>
              <w:rPr>
                <w:rFonts w:hint="eastAsia"/>
                <w:b/>
                <w:bCs/>
                <w:color w:val="auto"/>
                <w:sz w:val="24"/>
                <w:lang w:val="en-US" w:eastAsia="zh-CN"/>
              </w:rPr>
              <w:t>4</w:t>
            </w:r>
            <w:r>
              <w:rPr>
                <w:rFonts w:hint="eastAsia"/>
                <w:b/>
                <w:bCs/>
                <w:color w:val="auto"/>
                <w:sz w:val="24"/>
                <w:lang w:eastAsia="zh-CN"/>
              </w:rPr>
              <w:t>）</w:t>
            </w:r>
            <w:r>
              <w:rPr>
                <w:rFonts w:hint="eastAsia"/>
                <w:b/>
                <w:bCs/>
                <w:color w:val="auto"/>
                <w:sz w:val="24"/>
                <w:lang w:val="en-US" w:eastAsia="zh-CN"/>
              </w:rPr>
              <w:t>吸入料仓：</w:t>
            </w:r>
            <w:r>
              <w:rPr>
                <w:rFonts w:hint="eastAsia" w:ascii="Times New Roman" w:hAnsi="Times New Roman" w:cs="Times New Roman"/>
                <w:b w:val="0"/>
                <w:bCs/>
                <w:color w:val="auto"/>
                <w:sz w:val="24"/>
                <w:highlight w:val="none"/>
                <w:lang w:val="en-US" w:eastAsia="zh-CN"/>
              </w:rPr>
              <w:t>打散后的物料被负压风输送至物料收集区（料仓）</w:t>
            </w:r>
            <w:r>
              <w:rPr>
                <w:rFonts w:hint="eastAsia" w:cs="Times New Roman"/>
                <w:b w:val="0"/>
                <w:bCs/>
                <w:color w:val="auto"/>
                <w:sz w:val="24"/>
                <w:highlight w:val="none"/>
                <w:lang w:val="en-US" w:eastAsia="zh-CN"/>
              </w:rPr>
              <w:t>，</w:t>
            </w:r>
            <w:r>
              <w:rPr>
                <w:rFonts w:hint="eastAsia" w:ascii="Times New Roman" w:hAnsi="Times New Roman" w:cs="Times New Roman"/>
                <w:b w:val="0"/>
                <w:bCs/>
                <w:color w:val="auto"/>
                <w:sz w:val="24"/>
                <w:highlight w:val="none"/>
                <w:lang w:val="en-US" w:eastAsia="zh-CN"/>
              </w:rPr>
              <w:t>过程中会有</w:t>
            </w:r>
            <w:r>
              <w:rPr>
                <w:rFonts w:hint="eastAsia" w:cs="Times New Roman"/>
                <w:b w:val="0"/>
                <w:bCs/>
                <w:color w:val="auto"/>
                <w:sz w:val="24"/>
                <w:highlight w:val="none"/>
                <w:lang w:val="en-US" w:eastAsia="zh-CN"/>
              </w:rPr>
              <w:t>卸料</w:t>
            </w:r>
            <w:r>
              <w:rPr>
                <w:rFonts w:hint="eastAsia" w:ascii="Times New Roman" w:hAnsi="Times New Roman" w:cs="Times New Roman"/>
                <w:b w:val="0"/>
                <w:bCs/>
                <w:color w:val="auto"/>
                <w:sz w:val="24"/>
                <w:highlight w:val="none"/>
                <w:lang w:val="en-US" w:eastAsia="zh-CN"/>
              </w:rPr>
              <w:t>粉尘G</w:t>
            </w:r>
            <w:r>
              <w:rPr>
                <w:rFonts w:hint="eastAsia" w:cs="Times New Roman"/>
                <w:b w:val="0"/>
                <w:bCs/>
                <w:color w:val="auto"/>
                <w:sz w:val="24"/>
                <w:highlight w:val="none"/>
                <w:lang w:val="en-US" w:eastAsia="zh-CN"/>
              </w:rPr>
              <w:t>2</w:t>
            </w:r>
            <w:r>
              <w:rPr>
                <w:rFonts w:hint="eastAsia" w:ascii="Times New Roman" w:hAnsi="Times New Roman" w:cs="Times New Roman"/>
                <w:b w:val="0"/>
                <w:bCs/>
                <w:color w:val="auto"/>
                <w:sz w:val="24"/>
                <w:highlight w:val="none"/>
                <w:lang w:val="en-US" w:eastAsia="zh-CN"/>
              </w:rPr>
              <w:t>-</w:t>
            </w:r>
            <w:r>
              <w:rPr>
                <w:rFonts w:hint="eastAsia" w:cs="Times New Roman"/>
                <w:b w:val="0"/>
                <w:bCs/>
                <w:color w:val="auto"/>
                <w:sz w:val="24"/>
                <w:highlight w:val="none"/>
                <w:lang w:val="en-US" w:eastAsia="zh-CN"/>
              </w:rPr>
              <w:t>2</w:t>
            </w:r>
            <w:r>
              <w:rPr>
                <w:rFonts w:hint="eastAsia" w:ascii="Times New Roman" w:hAnsi="Times New Roman" w:cs="Times New Roman"/>
                <w:b w:val="0"/>
                <w:bCs/>
                <w:color w:val="auto"/>
                <w:sz w:val="24"/>
                <w:highlight w:val="none"/>
                <w:lang w:val="en-US" w:eastAsia="zh-CN"/>
              </w:rPr>
              <w:t xml:space="preserve">产生。 </w:t>
            </w:r>
          </w:p>
          <w:p w14:paraId="1B427CA0">
            <w:pPr>
              <w:spacing w:line="500" w:lineRule="atLeast"/>
              <w:ind w:firstLine="482" w:firstLineChars="200"/>
              <w:rPr>
                <w:rFonts w:hint="eastAsia"/>
                <w:b w:val="0"/>
                <w:color w:val="auto"/>
                <w:sz w:val="24"/>
              </w:rPr>
            </w:pPr>
            <w:r>
              <w:rPr>
                <w:rFonts w:hint="eastAsia"/>
                <w:b/>
                <w:bCs/>
                <w:color w:val="auto"/>
                <w:sz w:val="24"/>
                <w:szCs w:val="24"/>
                <w:lang w:val="en-US" w:eastAsia="zh-CN"/>
              </w:rPr>
              <w:t>（5）压实：</w:t>
            </w:r>
            <w:r>
              <w:rPr>
                <w:rFonts w:hint="eastAsia"/>
                <w:b w:val="0"/>
                <w:bCs w:val="0"/>
                <w:color w:val="auto"/>
                <w:sz w:val="24"/>
                <w:szCs w:val="24"/>
                <w:lang w:val="en-US" w:eastAsia="zh-CN"/>
              </w:rPr>
              <w:t>利用模具之间的相对运动给疏松的半成品施加压力，使粉料压紧成致密的坯体。</w:t>
            </w:r>
            <w:r>
              <w:rPr>
                <w:rFonts w:hint="eastAsia" w:ascii="Times New Roman" w:hAnsi="Times New Roman" w:cs="Times New Roman"/>
                <w:bCs/>
                <w:color w:val="auto"/>
                <w:sz w:val="24"/>
                <w:highlight w:val="none"/>
                <w:lang w:val="en-US" w:eastAsia="zh-CN"/>
              </w:rPr>
              <w:t>全过程密闭进行</w:t>
            </w:r>
            <w:r>
              <w:rPr>
                <w:rFonts w:hint="eastAsia" w:cs="Times New Roman"/>
                <w:bCs/>
                <w:color w:val="auto"/>
                <w:sz w:val="24"/>
                <w:highlight w:val="none"/>
                <w:lang w:val="en-US" w:eastAsia="zh-CN"/>
              </w:rPr>
              <w:t>。</w:t>
            </w:r>
          </w:p>
          <w:p w14:paraId="0DC4124F">
            <w:pPr>
              <w:numPr>
                <w:ilvl w:val="-1"/>
                <w:numId w:val="0"/>
              </w:numPr>
              <w:spacing w:line="360" w:lineRule="auto"/>
              <w:ind w:left="0" w:leftChars="0" w:firstLine="482" w:firstLineChars="200"/>
              <w:jc w:val="left"/>
              <w:rPr>
                <w:rFonts w:hint="eastAsia" w:ascii="Times New Roman" w:hAnsi="Times New Roman" w:eastAsia="宋体" w:cs="Times New Roman"/>
                <w:bCs/>
                <w:color w:val="auto"/>
                <w:sz w:val="24"/>
                <w:highlight w:val="none"/>
                <w:lang w:val="en-US" w:eastAsia="zh-CN"/>
              </w:rPr>
            </w:pPr>
            <w:r>
              <w:rPr>
                <w:rFonts w:hint="eastAsia"/>
                <w:b/>
                <w:color w:val="auto"/>
                <w:sz w:val="24"/>
                <w:lang w:eastAsia="zh-CN"/>
              </w:rPr>
              <w:t>（</w:t>
            </w:r>
            <w:r>
              <w:rPr>
                <w:rFonts w:hint="eastAsia"/>
                <w:b/>
                <w:color w:val="auto"/>
                <w:sz w:val="24"/>
                <w:lang w:val="en-US" w:eastAsia="zh-CN"/>
              </w:rPr>
              <w:t>6</w:t>
            </w:r>
            <w:r>
              <w:rPr>
                <w:rFonts w:hint="eastAsia"/>
                <w:b/>
                <w:color w:val="auto"/>
                <w:sz w:val="24"/>
                <w:lang w:eastAsia="zh-CN"/>
              </w:rPr>
              <w:t>）</w:t>
            </w:r>
            <w:r>
              <w:rPr>
                <w:rFonts w:hint="eastAsia"/>
                <w:b/>
                <w:color w:val="auto"/>
                <w:sz w:val="24"/>
                <w:lang w:val="en-US" w:eastAsia="zh-CN"/>
              </w:rPr>
              <w:t>检验：</w:t>
            </w:r>
            <w:r>
              <w:rPr>
                <w:rFonts w:hint="default" w:ascii="Times New Roman" w:hAnsi="Times New Roman" w:eastAsia="宋体" w:cs="Times New Roman"/>
                <w:bCs/>
                <w:color w:val="auto"/>
                <w:sz w:val="24"/>
                <w:highlight w:val="none"/>
              </w:rPr>
              <w:t>产品经人工检验</w:t>
            </w:r>
            <w:r>
              <w:rPr>
                <w:rFonts w:hint="eastAsia" w:ascii="Times New Roman" w:hAnsi="Times New Roman" w:eastAsia="宋体" w:cs="Times New Roman"/>
                <w:bCs/>
                <w:color w:val="auto"/>
                <w:sz w:val="24"/>
                <w:highlight w:val="none"/>
                <w:lang w:eastAsia="zh-CN"/>
              </w:rPr>
              <w:t>，</w:t>
            </w:r>
            <w:r>
              <w:rPr>
                <w:rFonts w:hint="eastAsia" w:cs="Times New Roman"/>
                <w:bCs/>
                <w:color w:val="auto"/>
                <w:sz w:val="24"/>
                <w:highlight w:val="none"/>
                <w:lang w:val="en-US" w:eastAsia="zh-CN"/>
              </w:rPr>
              <w:t>不合格品重新加工，</w:t>
            </w:r>
            <w:r>
              <w:rPr>
                <w:rFonts w:hint="eastAsia" w:ascii="Times New Roman" w:hAnsi="Times New Roman" w:eastAsia="宋体" w:cs="Times New Roman"/>
                <w:bCs/>
                <w:color w:val="auto"/>
                <w:sz w:val="24"/>
                <w:highlight w:val="none"/>
                <w:lang w:val="en-US" w:eastAsia="zh-CN"/>
              </w:rPr>
              <w:t>合格后即可包装入库</w:t>
            </w:r>
            <w:r>
              <w:rPr>
                <w:rFonts w:hint="eastAsia" w:cs="Times New Roman"/>
                <w:bCs/>
                <w:color w:val="auto"/>
                <w:sz w:val="24"/>
                <w:highlight w:val="none"/>
                <w:lang w:val="en-US" w:eastAsia="zh-CN"/>
              </w:rPr>
              <w:t>。过程中会有固废S1-2产生。</w:t>
            </w:r>
          </w:p>
          <w:p w14:paraId="5D232173">
            <w:pPr>
              <w:numPr>
                <w:ilvl w:val="-1"/>
                <w:numId w:val="0"/>
              </w:numPr>
              <w:spacing w:line="360" w:lineRule="auto"/>
              <w:ind w:left="0" w:leftChars="0" w:firstLine="482" w:firstLineChars="200"/>
              <w:jc w:val="left"/>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7</w:t>
            </w:r>
            <w:r>
              <w:rPr>
                <w:rFonts w:hint="eastAsia" w:ascii="Times New Roman" w:hAnsi="Times New Roman" w:eastAsia="宋体" w:cs="Times New Roman"/>
                <w:b/>
                <w:bCs w:val="0"/>
                <w:color w:val="auto"/>
                <w:sz w:val="24"/>
                <w:highlight w:val="none"/>
                <w:lang w:eastAsia="zh-CN"/>
              </w:rPr>
              <w:t>）</w:t>
            </w:r>
            <w:r>
              <w:rPr>
                <w:rFonts w:hint="eastAsia" w:ascii="Times New Roman" w:hAnsi="Times New Roman" w:cs="Times New Roman"/>
                <w:b/>
                <w:bCs w:val="0"/>
                <w:color w:val="auto"/>
                <w:sz w:val="24"/>
                <w:highlight w:val="none"/>
                <w:lang w:val="en-US" w:eastAsia="zh-CN"/>
              </w:rPr>
              <w:t>包装入库：</w:t>
            </w:r>
            <w:r>
              <w:rPr>
                <w:rFonts w:hint="eastAsia" w:ascii="Times New Roman" w:hAnsi="Times New Roman" w:cs="Times New Roman"/>
                <w:b w:val="0"/>
                <w:bCs/>
                <w:color w:val="auto"/>
                <w:sz w:val="24"/>
                <w:highlight w:val="none"/>
                <w:lang w:val="en-US" w:eastAsia="zh-CN"/>
              </w:rPr>
              <w:t>检验合格的成品按规格用自动包装机进行包装入库，过程中会有包装粉尘G</w:t>
            </w:r>
            <w:r>
              <w:rPr>
                <w:rFonts w:hint="eastAsia" w:cs="Times New Roman"/>
                <w:b w:val="0"/>
                <w:bCs/>
                <w:color w:val="auto"/>
                <w:sz w:val="24"/>
                <w:highlight w:val="none"/>
                <w:lang w:val="en-US" w:eastAsia="zh-CN"/>
              </w:rPr>
              <w:t>3</w:t>
            </w:r>
            <w:r>
              <w:rPr>
                <w:rFonts w:hint="eastAsia" w:ascii="Times New Roman" w:hAnsi="Times New Roman" w:cs="Times New Roman"/>
                <w:b w:val="0"/>
                <w:bCs/>
                <w:color w:val="auto"/>
                <w:sz w:val="24"/>
                <w:highlight w:val="none"/>
                <w:lang w:val="en-US" w:eastAsia="zh-CN"/>
              </w:rPr>
              <w:t>-2产生。</w:t>
            </w:r>
          </w:p>
          <w:p w14:paraId="0216C06C">
            <w:pPr>
              <w:spacing w:line="500" w:lineRule="atLeast"/>
              <w:rPr>
                <w:rFonts w:hint="default" w:eastAsia="宋体"/>
                <w:b/>
                <w:color w:val="auto"/>
                <w:sz w:val="24"/>
                <w:lang w:val="en-US" w:eastAsia="zh-CN"/>
              </w:rPr>
            </w:pPr>
          </w:p>
          <w:p w14:paraId="40CCBC86">
            <w:pPr>
              <w:spacing w:line="500" w:lineRule="atLeast"/>
              <w:rPr>
                <w:rFonts w:hint="eastAsia"/>
                <w:b/>
                <w:color w:val="auto"/>
                <w:sz w:val="24"/>
              </w:rPr>
            </w:pPr>
          </w:p>
          <w:p w14:paraId="2B70B6DD">
            <w:pPr>
              <w:ind w:firstLine="482" w:firstLineChars="200"/>
              <w:rPr>
                <w:rFonts w:hint="eastAsia"/>
                <w:b/>
                <w:color w:val="auto"/>
                <w:sz w:val="24"/>
                <w:lang w:val="en-US" w:eastAsia="zh-CN"/>
              </w:rPr>
            </w:pPr>
          </w:p>
          <w:p w14:paraId="3AFC99C2">
            <w:pPr>
              <w:ind w:firstLine="482" w:firstLineChars="200"/>
              <w:rPr>
                <w:rFonts w:hint="eastAsia"/>
                <w:b/>
                <w:color w:val="auto"/>
                <w:sz w:val="24"/>
                <w:lang w:val="en-US" w:eastAsia="zh-CN"/>
              </w:rPr>
            </w:pPr>
          </w:p>
          <w:p w14:paraId="3A7D6D14">
            <w:pPr>
              <w:ind w:firstLine="482" w:firstLineChars="200"/>
              <w:rPr>
                <w:rFonts w:hint="eastAsia"/>
                <w:b/>
                <w:color w:val="auto"/>
                <w:sz w:val="24"/>
                <w:lang w:val="en-US" w:eastAsia="zh-CN"/>
              </w:rPr>
            </w:pPr>
          </w:p>
          <w:p w14:paraId="16BCD162">
            <w:pPr>
              <w:ind w:firstLine="482" w:firstLineChars="200"/>
              <w:rPr>
                <w:rFonts w:hint="eastAsia"/>
                <w:b/>
                <w:color w:val="auto"/>
                <w:sz w:val="24"/>
                <w:lang w:val="en-US" w:eastAsia="zh-CN"/>
              </w:rPr>
            </w:pPr>
          </w:p>
          <w:p w14:paraId="3B73B917">
            <w:pPr>
              <w:ind w:firstLine="482" w:firstLineChars="200"/>
              <w:rPr>
                <w:rFonts w:hint="eastAsia"/>
                <w:b/>
                <w:color w:val="auto"/>
                <w:sz w:val="24"/>
                <w:lang w:val="en-US" w:eastAsia="zh-CN"/>
              </w:rPr>
            </w:pPr>
          </w:p>
          <w:p w14:paraId="76F4D06C">
            <w:pPr>
              <w:numPr>
                <w:ilvl w:val="0"/>
                <w:numId w:val="0"/>
              </w:numPr>
              <w:spacing w:line="360" w:lineRule="auto"/>
              <w:ind w:firstLine="480" w:firstLineChars="200"/>
              <w:jc w:val="left"/>
              <w:rPr>
                <w:rFonts w:hint="eastAsia"/>
                <w:b w:val="0"/>
                <w:bCs/>
                <w:color w:val="auto"/>
                <w:sz w:val="24"/>
                <w:highlight w:val="none"/>
                <w:lang w:val="en-US" w:eastAsia="zh-CN"/>
              </w:rPr>
            </w:pPr>
          </w:p>
          <w:p w14:paraId="420D3719">
            <w:pPr>
              <w:numPr>
                <w:ilvl w:val="0"/>
                <w:numId w:val="0"/>
              </w:numPr>
              <w:spacing w:line="360" w:lineRule="auto"/>
              <w:ind w:firstLine="480" w:firstLineChars="200"/>
              <w:jc w:val="left"/>
              <w:rPr>
                <w:rFonts w:hint="eastAsia"/>
                <w:b w:val="0"/>
                <w:bCs/>
                <w:color w:val="auto"/>
                <w:sz w:val="24"/>
                <w:highlight w:val="none"/>
                <w:lang w:val="en-US" w:eastAsia="zh-CN"/>
              </w:rPr>
            </w:pPr>
          </w:p>
          <w:p w14:paraId="27ECC5F1">
            <w:pPr>
              <w:numPr>
                <w:ilvl w:val="0"/>
                <w:numId w:val="0"/>
              </w:numPr>
              <w:spacing w:line="360" w:lineRule="auto"/>
              <w:ind w:firstLine="480" w:firstLineChars="200"/>
              <w:jc w:val="left"/>
              <w:rPr>
                <w:rFonts w:hint="eastAsia"/>
                <w:b w:val="0"/>
                <w:bCs/>
                <w:color w:val="auto"/>
                <w:sz w:val="24"/>
                <w:highlight w:val="none"/>
                <w:lang w:val="en-US" w:eastAsia="zh-CN"/>
              </w:rPr>
            </w:pPr>
          </w:p>
          <w:p w14:paraId="5B789CCC">
            <w:pPr>
              <w:numPr>
                <w:ilvl w:val="0"/>
                <w:numId w:val="0"/>
              </w:numPr>
              <w:spacing w:line="360" w:lineRule="auto"/>
              <w:ind w:firstLine="480" w:firstLineChars="200"/>
              <w:jc w:val="left"/>
              <w:rPr>
                <w:rFonts w:hint="eastAsia"/>
                <w:b w:val="0"/>
                <w:bCs/>
                <w:color w:val="auto"/>
                <w:sz w:val="24"/>
                <w:highlight w:val="none"/>
                <w:lang w:val="en-US" w:eastAsia="zh-CN"/>
              </w:rPr>
            </w:pPr>
          </w:p>
          <w:p w14:paraId="5EE8CCD8">
            <w:pPr>
              <w:numPr>
                <w:ilvl w:val="0"/>
                <w:numId w:val="0"/>
              </w:numPr>
              <w:spacing w:line="360" w:lineRule="auto"/>
              <w:ind w:firstLine="480" w:firstLineChars="200"/>
              <w:jc w:val="left"/>
              <w:rPr>
                <w:rFonts w:hint="eastAsia"/>
                <w:b w:val="0"/>
                <w:bCs/>
                <w:color w:val="auto"/>
                <w:sz w:val="24"/>
                <w:highlight w:val="none"/>
                <w:lang w:val="en-US" w:eastAsia="zh-CN"/>
              </w:rPr>
            </w:pPr>
          </w:p>
          <w:p w14:paraId="670B81CA">
            <w:pPr>
              <w:rPr>
                <w:rFonts w:hint="eastAsia"/>
                <w:b/>
                <w:snapToGrid w:val="0"/>
                <w:color w:val="auto"/>
                <w:kern w:val="0"/>
                <w:sz w:val="24"/>
              </w:rPr>
            </w:pPr>
            <w:r>
              <w:rPr>
                <w:rFonts w:hint="eastAsia"/>
                <w:b/>
                <w:color w:val="auto"/>
                <w:sz w:val="24"/>
                <w:lang w:val="en-US" w:eastAsia="zh-CN"/>
              </w:rPr>
              <w:t>球形硅粉</w:t>
            </w:r>
            <w:r>
              <w:rPr>
                <w:b/>
                <w:color w:val="auto"/>
                <w:sz w:val="24"/>
              </w:rPr>
              <w:t>工艺</w:t>
            </w:r>
            <w:r>
              <w:rPr>
                <w:rFonts w:hint="eastAsia"/>
                <w:b/>
                <w:snapToGrid w:val="0"/>
                <w:color w:val="auto"/>
                <w:kern w:val="0"/>
                <w:sz w:val="24"/>
                <w:lang w:eastAsia="zh-Hans"/>
              </w:rPr>
              <w:t>流程</w:t>
            </w:r>
            <w:r>
              <w:rPr>
                <w:rFonts w:hint="eastAsia"/>
                <w:b/>
                <w:snapToGrid w:val="0"/>
                <w:color w:val="auto"/>
                <w:kern w:val="0"/>
                <w:sz w:val="24"/>
              </w:rPr>
              <w:t>及产污节点图如下：</w:t>
            </w:r>
          </w:p>
          <w:p w14:paraId="633D6564">
            <w:pPr>
              <w:spacing w:line="400" w:lineRule="atLeast"/>
              <w:jc w:val="center"/>
              <w:rPr>
                <w:color w:val="auto"/>
              </w:rPr>
            </w:pPr>
            <w:r>
              <w:rPr>
                <w:color w:val="auto"/>
              </w:rPr>
              <w:object>
                <v:shape id="_x0000_i1027" o:spt="75" type="#_x0000_t75" style="height:502.2pt;width:249.6pt;" o:ole="t" filled="f" o:preferrelative="t" stroked="f" coordsize="21600,21600">
                  <v:path/>
                  <v:fill on="f" focussize="0,0"/>
                  <v:stroke on="f"/>
                  <v:imagedata r:id="rId14" o:title=""/>
                  <o:lock v:ext="edit" aspectratio="f"/>
                  <w10:wrap type="none"/>
                  <w10:anchorlock/>
                </v:shape>
                <o:OLEObject Type="Embed" ProgID="Visio.Drawing.11" ShapeID="_x0000_i1027" DrawAspect="Content" ObjectID="_1468075727" r:id="rId13">
                  <o:LockedField>false</o:LockedField>
                </o:OLEObject>
              </w:object>
            </w:r>
          </w:p>
          <w:p w14:paraId="657039CF">
            <w:pPr>
              <w:spacing w:line="400" w:lineRule="atLeast"/>
              <w:jc w:val="center"/>
              <w:rPr>
                <w:b/>
                <w:bCs/>
                <w:color w:val="auto"/>
              </w:rPr>
            </w:pPr>
            <w:r>
              <w:rPr>
                <w:b/>
                <w:color w:val="auto"/>
                <w:sz w:val="24"/>
              </w:rPr>
              <w:t>图2-</w:t>
            </w:r>
            <w:r>
              <w:rPr>
                <w:rFonts w:hint="eastAsia"/>
                <w:b/>
                <w:color w:val="auto"/>
                <w:sz w:val="24"/>
                <w:lang w:val="en-US" w:eastAsia="zh-CN"/>
              </w:rPr>
              <w:t>4</w:t>
            </w:r>
            <w:r>
              <w:rPr>
                <w:b/>
                <w:color w:val="auto"/>
                <w:sz w:val="24"/>
              </w:rPr>
              <w:t xml:space="preserve">   </w:t>
            </w:r>
            <w:r>
              <w:rPr>
                <w:rFonts w:hint="eastAsia"/>
                <w:b/>
                <w:color w:val="auto"/>
                <w:sz w:val="24"/>
                <w:lang w:val="en-US" w:eastAsia="zh-CN"/>
              </w:rPr>
              <w:t>球形硅粉</w:t>
            </w:r>
            <w:r>
              <w:rPr>
                <w:b/>
                <w:color w:val="auto"/>
                <w:sz w:val="24"/>
              </w:rPr>
              <w:t>工艺流程及污染节点图</w:t>
            </w:r>
          </w:p>
          <w:p w14:paraId="4883A252">
            <w:pPr>
              <w:spacing w:line="500" w:lineRule="atLeast"/>
              <w:jc w:val="center"/>
              <w:rPr>
                <w:rFonts w:hint="eastAsia"/>
                <w:b/>
                <w:color w:val="auto"/>
                <w:sz w:val="24"/>
              </w:rPr>
            </w:pPr>
          </w:p>
          <w:p w14:paraId="2EDD104A">
            <w:pPr>
              <w:spacing w:line="500" w:lineRule="atLeast"/>
              <w:rPr>
                <w:b/>
                <w:bCs/>
                <w:color w:val="auto"/>
                <w:sz w:val="24"/>
              </w:rPr>
            </w:pPr>
            <w:r>
              <w:rPr>
                <w:b/>
                <w:bCs/>
                <w:color w:val="auto"/>
                <w:sz w:val="24"/>
              </w:rPr>
              <w:t>工艺说明：</w:t>
            </w:r>
          </w:p>
          <w:p w14:paraId="0EEABC81">
            <w:pPr>
              <w:spacing w:line="500" w:lineRule="atLeast"/>
              <w:ind w:firstLine="482" w:firstLineChars="200"/>
              <w:rPr>
                <w:rFonts w:hint="eastAsia"/>
                <w:bCs/>
                <w:color w:val="auto"/>
                <w:sz w:val="24"/>
                <w:lang w:eastAsia="zh-CN"/>
              </w:rPr>
            </w:pPr>
            <w:r>
              <w:rPr>
                <w:rFonts w:hint="eastAsia" w:ascii="Times New Roman" w:hAnsi="Times New Roman" w:cs="Times New Roman"/>
                <w:b/>
                <w:bCs w:val="0"/>
                <w:color w:val="auto"/>
                <w:sz w:val="24"/>
                <w:highlight w:val="none"/>
                <w:lang w:val="en-US" w:eastAsia="zh-CN"/>
              </w:rPr>
              <w:t>(1)</w:t>
            </w:r>
            <w:r>
              <w:rPr>
                <w:rFonts w:hint="eastAsia" w:ascii="Times New Roman" w:hAnsi="Times New Roman" w:eastAsia="宋体" w:cs="Times New Roman"/>
                <w:b/>
                <w:bCs w:val="0"/>
                <w:color w:val="auto"/>
                <w:sz w:val="24"/>
                <w:highlight w:val="none"/>
                <w:lang w:eastAsia="zh-CN"/>
              </w:rPr>
              <w:t>投料</w:t>
            </w:r>
            <w:r>
              <w:rPr>
                <w:rFonts w:hint="eastAsia" w:ascii="Times New Roman" w:hAnsi="Times New Roman" w:eastAsia="宋体" w:cs="Times New Roman"/>
                <w:bCs/>
                <w:color w:val="auto"/>
                <w:sz w:val="24"/>
                <w:highlight w:val="none"/>
                <w:lang w:eastAsia="zh-CN"/>
              </w:rPr>
              <w:t>：外购的</w:t>
            </w:r>
            <w:r>
              <w:rPr>
                <w:rFonts w:hint="eastAsia" w:ascii="Times New Roman" w:hAnsi="Times New Roman" w:cs="Times New Roman"/>
                <w:bCs/>
                <w:color w:val="auto"/>
                <w:sz w:val="24"/>
                <w:highlight w:val="none"/>
                <w:lang w:val="en-US" w:eastAsia="zh-CN"/>
              </w:rPr>
              <w:t>二氧化硅及填料</w:t>
            </w:r>
            <w:r>
              <w:rPr>
                <w:rFonts w:hint="eastAsia" w:ascii="Times New Roman" w:hAnsi="Times New Roman" w:eastAsia="宋体" w:cs="Times New Roman"/>
                <w:bCs/>
                <w:color w:val="auto"/>
                <w:sz w:val="24"/>
                <w:highlight w:val="none"/>
                <w:lang w:eastAsia="zh-CN"/>
              </w:rPr>
              <w:t>通过计量泵打入上料口，在投料口将各原料按比例通过计量系统进行投料，投料采用真空投料。。真空投料是通过真空投料机投料，真空投料机是一种借助于真空吸力来传送颗粒和粉末状物料的输送设备，其工作原理是真空吸料设备是利用真空泵（文丘里原理）产生真空，真空产生的负压将物料从进料口被吸入。然后在在分离容器的过滤仓内，将空气与物料进行分离。物料因重力作用而自动落下，物料被收集在料仓中。旋风分离器阻止细小粉末进入过滤器，以提高过滤器的效率。待</w:t>
            </w:r>
            <w:r>
              <w:rPr>
                <w:rFonts w:hint="eastAsia"/>
                <w:bCs/>
                <w:color w:val="auto"/>
                <w:sz w:val="24"/>
                <w:lang w:eastAsia="zh-CN"/>
              </w:rPr>
              <w:t>料仓充满物料时，真空泵自动关闭，输送设备内的压力达到平衡。放料阀开启，物料通过出料口流出，并直接落入储料容器。出料时，过滤芯被反吹囊自动清洁。下料结束出料舱自动关闭，整个输送流程再次启动，在投料过程中会有粉尘G</w:t>
            </w:r>
            <w:r>
              <w:rPr>
                <w:rFonts w:hint="eastAsia"/>
                <w:bCs/>
                <w:color w:val="auto"/>
                <w:sz w:val="24"/>
                <w:lang w:val="en-US" w:eastAsia="zh-CN"/>
              </w:rPr>
              <w:t>1-4</w:t>
            </w:r>
            <w:r>
              <w:rPr>
                <w:rFonts w:hint="eastAsia"/>
                <w:bCs/>
                <w:color w:val="auto"/>
                <w:sz w:val="24"/>
                <w:lang w:eastAsia="zh-CN"/>
              </w:rPr>
              <w:t>产生；</w:t>
            </w:r>
          </w:p>
          <w:p w14:paraId="5A6DCB8D">
            <w:pPr>
              <w:spacing w:line="360" w:lineRule="auto"/>
              <w:ind w:firstLine="480" w:firstLineChars="200"/>
              <w:rPr>
                <w:rFonts w:hint="eastAsia"/>
                <w:bCs/>
                <w:color w:val="auto"/>
                <w:sz w:val="24"/>
              </w:rPr>
            </w:pPr>
            <w:r>
              <w:rPr>
                <w:rFonts w:hint="eastAsia"/>
                <w:bCs/>
                <w:color w:val="auto"/>
                <w:sz w:val="24"/>
                <w:lang w:val="en-US" w:eastAsia="zh-CN"/>
              </w:rPr>
              <w:t>（2）</w:t>
            </w:r>
            <w:r>
              <w:rPr>
                <w:rFonts w:hint="eastAsia"/>
                <w:b/>
                <w:bCs w:val="0"/>
                <w:color w:val="auto"/>
                <w:sz w:val="24"/>
                <w:lang w:val="en-US" w:eastAsia="zh-CN"/>
              </w:rPr>
              <w:t>加热混合</w:t>
            </w:r>
            <w:r>
              <w:rPr>
                <w:rFonts w:hint="eastAsia"/>
                <w:bCs/>
                <w:color w:val="auto"/>
                <w:sz w:val="24"/>
              </w:rPr>
              <w:t>：通过计量系统的原料进入混合机，</w:t>
            </w:r>
            <w:r>
              <w:rPr>
                <w:rFonts w:hint="eastAsia"/>
                <w:bCs/>
                <w:color w:val="auto"/>
                <w:sz w:val="24"/>
                <w:lang w:val="en-US" w:eastAsia="zh-CN"/>
              </w:rPr>
              <w:t>利用50℃-100℃高温队</w:t>
            </w:r>
            <w:r>
              <w:rPr>
                <w:rFonts w:hint="eastAsia"/>
                <w:bCs/>
                <w:color w:val="auto"/>
                <w:sz w:val="24"/>
              </w:rPr>
              <w:t>粉料</w:t>
            </w:r>
            <w:r>
              <w:rPr>
                <w:rFonts w:hint="eastAsia"/>
                <w:bCs/>
                <w:color w:val="auto"/>
                <w:sz w:val="24"/>
                <w:lang w:val="en-US" w:eastAsia="zh-CN"/>
              </w:rPr>
              <w:t>进行加热混合</w:t>
            </w:r>
            <w:r>
              <w:rPr>
                <w:rFonts w:hint="eastAsia"/>
                <w:bCs/>
                <w:color w:val="auto"/>
                <w:sz w:val="24"/>
              </w:rPr>
              <w:t>。</w:t>
            </w:r>
          </w:p>
          <w:p w14:paraId="2A15D0E6">
            <w:pPr>
              <w:spacing w:line="360" w:lineRule="auto"/>
              <w:ind w:firstLine="480" w:firstLineChars="200"/>
              <w:rPr>
                <w:rFonts w:hint="eastAsia"/>
                <w:bCs/>
                <w:color w:val="auto"/>
                <w:sz w:val="24"/>
              </w:rPr>
            </w:pPr>
            <w:r>
              <w:rPr>
                <w:rFonts w:hint="eastAsia"/>
                <w:bCs/>
                <w:color w:val="auto"/>
                <w:sz w:val="24"/>
                <w:lang w:val="en-US" w:eastAsia="zh-CN"/>
              </w:rPr>
              <w:t>（3）</w:t>
            </w:r>
            <w:r>
              <w:rPr>
                <w:rFonts w:hint="eastAsia"/>
                <w:b/>
                <w:bCs w:val="0"/>
                <w:color w:val="auto"/>
                <w:sz w:val="24"/>
                <w:lang w:val="en-US" w:eastAsia="zh-CN"/>
              </w:rPr>
              <w:t>等离子球化</w:t>
            </w:r>
            <w:r>
              <w:rPr>
                <w:rFonts w:hint="eastAsia"/>
                <w:bCs/>
                <w:color w:val="auto"/>
                <w:sz w:val="24"/>
              </w:rPr>
              <w:t>：将形状不规则的粉末通过惰性气体</w:t>
            </w:r>
            <w:r>
              <w:rPr>
                <w:rFonts w:hint="eastAsia"/>
                <w:color w:val="auto"/>
                <w:lang w:eastAsia="zh-CN"/>
              </w:rPr>
              <w:t>（</w:t>
            </w:r>
            <w:r>
              <w:rPr>
                <w:rFonts w:hint="eastAsia"/>
                <w:color w:val="auto"/>
                <w:sz w:val="24"/>
                <w:szCs w:val="24"/>
              </w:rPr>
              <w:t>设备自带的分子筛制备氮气</w:t>
            </w:r>
            <w:r>
              <w:rPr>
                <w:rFonts w:hint="eastAsia"/>
                <w:color w:val="auto"/>
                <w:sz w:val="24"/>
                <w:szCs w:val="24"/>
                <w:lang w:eastAsia="zh-CN"/>
              </w:rPr>
              <w:t>）</w:t>
            </w:r>
            <w:r>
              <w:rPr>
                <w:rFonts w:hint="eastAsia"/>
                <w:bCs/>
                <w:color w:val="auto"/>
                <w:sz w:val="24"/>
              </w:rPr>
              <w:t>送入感应等离子体中，迅速使其加热熔化，液态颗粒在表面张力的作用下形成球形液滴，并在较短的时间内重新凝固，从而获得球形的粉末颗粒。</w:t>
            </w:r>
          </w:p>
          <w:p w14:paraId="47C16151">
            <w:pPr>
              <w:spacing w:line="360" w:lineRule="auto"/>
              <w:ind w:firstLine="480" w:firstLineChars="200"/>
              <w:rPr>
                <w:rFonts w:hint="eastAsia"/>
                <w:bCs/>
                <w:color w:val="auto"/>
                <w:sz w:val="24"/>
                <w:lang w:val="en-US" w:eastAsia="zh-CN"/>
              </w:rPr>
            </w:pPr>
            <w:r>
              <w:rPr>
                <w:rFonts w:hint="eastAsia"/>
                <w:bCs/>
                <w:color w:val="auto"/>
                <w:sz w:val="24"/>
                <w:lang w:eastAsia="zh-CN"/>
              </w:rPr>
              <w:t>（</w:t>
            </w:r>
            <w:r>
              <w:rPr>
                <w:rFonts w:hint="eastAsia"/>
                <w:bCs/>
                <w:color w:val="auto"/>
                <w:sz w:val="24"/>
                <w:lang w:val="en-US" w:eastAsia="zh-CN"/>
              </w:rPr>
              <w:t>4</w:t>
            </w:r>
            <w:r>
              <w:rPr>
                <w:rFonts w:hint="eastAsia"/>
                <w:bCs/>
                <w:color w:val="auto"/>
                <w:sz w:val="24"/>
                <w:lang w:eastAsia="zh-CN"/>
              </w:rPr>
              <w:t>）</w:t>
            </w:r>
            <w:r>
              <w:rPr>
                <w:rFonts w:hint="eastAsia"/>
                <w:b/>
                <w:bCs w:val="0"/>
                <w:color w:val="auto"/>
                <w:sz w:val="24"/>
                <w:lang w:val="en-US" w:eastAsia="zh-CN"/>
              </w:rPr>
              <w:t>冷却</w:t>
            </w:r>
            <w:r>
              <w:rPr>
                <w:rFonts w:hint="eastAsia"/>
                <w:bCs/>
                <w:color w:val="auto"/>
                <w:sz w:val="24"/>
              </w:rPr>
              <w:t>：</w:t>
            </w:r>
            <w:r>
              <w:rPr>
                <w:rFonts w:hint="eastAsia"/>
                <w:bCs/>
                <w:color w:val="auto"/>
                <w:sz w:val="24"/>
                <w:lang w:val="en-US" w:eastAsia="zh-CN"/>
              </w:rPr>
              <w:t>球化</w:t>
            </w:r>
            <w:r>
              <w:rPr>
                <w:rFonts w:hint="eastAsia"/>
                <w:bCs/>
                <w:color w:val="auto"/>
                <w:sz w:val="24"/>
              </w:rPr>
              <w:t>成型的半成品通过</w:t>
            </w:r>
            <w:r>
              <w:rPr>
                <w:rFonts w:hint="eastAsia"/>
                <w:bCs/>
                <w:color w:val="auto"/>
                <w:sz w:val="24"/>
                <w:lang w:val="en-US" w:eastAsia="zh-CN"/>
              </w:rPr>
              <w:t>风</w:t>
            </w:r>
            <w:r>
              <w:rPr>
                <w:rFonts w:hint="eastAsia"/>
                <w:bCs/>
                <w:color w:val="auto"/>
                <w:sz w:val="24"/>
              </w:rPr>
              <w:t>冷方式进行冷却</w:t>
            </w:r>
            <w:r>
              <w:rPr>
                <w:rFonts w:hint="eastAsia"/>
                <w:bCs/>
                <w:color w:val="auto"/>
                <w:sz w:val="24"/>
                <w:lang w:val="en-US" w:eastAsia="zh-CN"/>
              </w:rPr>
              <w:t>。</w:t>
            </w:r>
          </w:p>
          <w:p w14:paraId="7CDC077C">
            <w:pPr>
              <w:spacing w:line="360" w:lineRule="auto"/>
              <w:ind w:firstLine="480" w:firstLineChars="200"/>
              <w:rPr>
                <w:rFonts w:hint="default"/>
                <w:bCs/>
                <w:color w:val="auto"/>
                <w:sz w:val="24"/>
                <w:lang w:val="en-US" w:eastAsia="zh-CN"/>
              </w:rPr>
            </w:pPr>
            <w:r>
              <w:rPr>
                <w:rFonts w:hint="eastAsia"/>
                <w:bCs/>
                <w:color w:val="auto"/>
                <w:sz w:val="24"/>
                <w:lang w:eastAsia="zh-CN"/>
              </w:rPr>
              <w:t>（</w:t>
            </w:r>
            <w:r>
              <w:rPr>
                <w:rFonts w:hint="eastAsia"/>
                <w:bCs/>
                <w:color w:val="auto"/>
                <w:sz w:val="24"/>
                <w:lang w:val="en-US" w:eastAsia="zh-CN"/>
              </w:rPr>
              <w:t>5</w:t>
            </w:r>
            <w:r>
              <w:rPr>
                <w:rFonts w:hint="eastAsia"/>
                <w:bCs/>
                <w:color w:val="auto"/>
                <w:sz w:val="24"/>
                <w:lang w:eastAsia="zh-CN"/>
              </w:rPr>
              <w:t>）</w:t>
            </w:r>
            <w:r>
              <w:rPr>
                <w:rFonts w:hint="eastAsia"/>
                <w:b/>
                <w:bCs w:val="0"/>
                <w:color w:val="auto"/>
                <w:sz w:val="24"/>
                <w:lang w:val="en-US" w:eastAsia="zh-CN"/>
              </w:rPr>
              <w:t>吸入</w:t>
            </w:r>
            <w:r>
              <w:rPr>
                <w:rFonts w:hint="eastAsia"/>
                <w:bCs/>
                <w:color w:val="auto"/>
                <w:sz w:val="24"/>
                <w:lang w:val="en-US" w:eastAsia="zh-CN"/>
              </w:rPr>
              <w:t>：冷却后的粉料被负压风输送至分级系统，</w:t>
            </w:r>
            <w:r>
              <w:rPr>
                <w:rFonts w:hint="eastAsia"/>
                <w:bCs/>
                <w:color w:val="auto"/>
                <w:sz w:val="24"/>
                <w:lang w:eastAsia="zh-CN"/>
              </w:rPr>
              <w:t>过程中会有</w:t>
            </w:r>
            <w:r>
              <w:rPr>
                <w:rFonts w:hint="eastAsia"/>
                <w:bCs/>
                <w:color w:val="auto"/>
                <w:sz w:val="24"/>
                <w:lang w:val="en-US" w:eastAsia="zh-CN"/>
              </w:rPr>
              <w:t>卸料</w:t>
            </w:r>
            <w:r>
              <w:rPr>
                <w:rFonts w:hint="eastAsia"/>
                <w:bCs/>
                <w:color w:val="auto"/>
                <w:sz w:val="24"/>
                <w:lang w:eastAsia="zh-CN"/>
              </w:rPr>
              <w:t>粉尘G</w:t>
            </w:r>
            <w:r>
              <w:rPr>
                <w:rFonts w:hint="eastAsia"/>
                <w:bCs/>
                <w:color w:val="auto"/>
                <w:sz w:val="24"/>
                <w:lang w:val="en-US" w:eastAsia="zh-CN"/>
              </w:rPr>
              <w:t>2-3</w:t>
            </w:r>
            <w:r>
              <w:rPr>
                <w:rFonts w:hint="eastAsia"/>
                <w:bCs/>
                <w:color w:val="auto"/>
                <w:sz w:val="24"/>
                <w:lang w:eastAsia="zh-CN"/>
              </w:rPr>
              <w:t>产生</w:t>
            </w:r>
            <w:r>
              <w:rPr>
                <w:rFonts w:hint="eastAsia"/>
                <w:bCs/>
                <w:color w:val="auto"/>
                <w:sz w:val="24"/>
                <w:lang w:val="en-US" w:eastAsia="zh-CN"/>
              </w:rPr>
              <w:t xml:space="preserve">。 </w:t>
            </w:r>
          </w:p>
          <w:p w14:paraId="11BDCCDE">
            <w:pPr>
              <w:spacing w:line="360" w:lineRule="auto"/>
              <w:ind w:firstLine="480" w:firstLineChars="200"/>
              <w:rPr>
                <w:rFonts w:hint="default"/>
                <w:bCs/>
                <w:color w:val="auto"/>
                <w:sz w:val="24"/>
                <w:lang w:val="en-US" w:eastAsia="zh-CN"/>
              </w:rPr>
            </w:pPr>
            <w:r>
              <w:rPr>
                <w:rFonts w:hint="eastAsia"/>
                <w:bCs/>
                <w:color w:val="auto"/>
                <w:sz w:val="24"/>
                <w:lang w:eastAsia="zh-CN"/>
              </w:rPr>
              <w:t>（</w:t>
            </w:r>
            <w:r>
              <w:rPr>
                <w:rFonts w:hint="eastAsia"/>
                <w:bCs/>
                <w:color w:val="auto"/>
                <w:sz w:val="24"/>
                <w:lang w:val="en-US" w:eastAsia="zh-CN"/>
              </w:rPr>
              <w:t>6</w:t>
            </w:r>
            <w:r>
              <w:rPr>
                <w:rFonts w:hint="eastAsia"/>
                <w:bCs/>
                <w:color w:val="auto"/>
                <w:sz w:val="24"/>
                <w:lang w:eastAsia="zh-CN"/>
              </w:rPr>
              <w:t>）</w:t>
            </w:r>
            <w:r>
              <w:rPr>
                <w:rFonts w:hint="eastAsia"/>
                <w:b/>
                <w:bCs w:val="0"/>
                <w:color w:val="auto"/>
                <w:sz w:val="24"/>
                <w:lang w:val="en-US" w:eastAsia="zh-CN"/>
              </w:rPr>
              <w:t>分级</w:t>
            </w:r>
            <w:r>
              <w:rPr>
                <w:rFonts w:hint="eastAsia"/>
                <w:bCs/>
                <w:color w:val="auto"/>
                <w:sz w:val="24"/>
                <w:lang w:val="en-US" w:eastAsia="zh-CN"/>
              </w:rPr>
              <w:t>：</w:t>
            </w:r>
            <w:r>
              <w:rPr>
                <w:rFonts w:hint="eastAsia"/>
                <w:bCs/>
                <w:color w:val="auto"/>
                <w:sz w:val="24"/>
              </w:rPr>
              <w:t>利用射流的附壁效应为主要影响因素，将惯性力、离心力和悬浮力进行有效的组合，</w:t>
            </w:r>
            <w:r>
              <w:rPr>
                <w:rFonts w:hint="eastAsia"/>
                <w:bCs/>
                <w:color w:val="auto"/>
                <w:sz w:val="24"/>
                <w:lang w:val="en-US" w:eastAsia="zh-CN"/>
              </w:rPr>
              <w:t>形成</w:t>
            </w:r>
            <w:r>
              <w:rPr>
                <w:rFonts w:hint="eastAsia"/>
                <w:bCs/>
                <w:color w:val="auto"/>
                <w:sz w:val="24"/>
              </w:rPr>
              <w:t>超细粉射流分级</w:t>
            </w:r>
            <w:r>
              <w:rPr>
                <w:rFonts w:hint="eastAsia"/>
                <w:bCs/>
                <w:color w:val="auto"/>
                <w:sz w:val="24"/>
                <w:lang w:val="en-US" w:eastAsia="zh-CN"/>
              </w:rPr>
              <w:t>系统</w:t>
            </w:r>
            <w:r>
              <w:rPr>
                <w:rFonts w:hint="eastAsia"/>
                <w:bCs/>
                <w:color w:val="auto"/>
                <w:sz w:val="24"/>
              </w:rPr>
              <w:t>。</w:t>
            </w:r>
            <w:r>
              <w:rPr>
                <w:rFonts w:hint="eastAsia"/>
                <w:bCs/>
                <w:color w:val="auto"/>
                <w:sz w:val="24"/>
                <w:lang w:val="en-US" w:eastAsia="zh-CN"/>
              </w:rPr>
              <w:t>将球形填料</w:t>
            </w:r>
            <w:r>
              <w:rPr>
                <w:rFonts w:hint="eastAsia"/>
                <w:bCs/>
                <w:color w:val="auto"/>
                <w:sz w:val="24"/>
              </w:rPr>
              <w:t>分</w:t>
            </w:r>
            <w:r>
              <w:rPr>
                <w:rFonts w:hint="eastAsia"/>
                <w:bCs/>
                <w:color w:val="auto"/>
                <w:sz w:val="24"/>
                <w:lang w:val="en-US" w:eastAsia="zh-CN"/>
              </w:rPr>
              <w:t>为</w:t>
            </w:r>
            <w:r>
              <w:rPr>
                <w:rFonts w:hint="eastAsia"/>
                <w:bCs/>
                <w:color w:val="auto"/>
                <w:sz w:val="24"/>
              </w:rPr>
              <w:t>粗、中、细粉</w:t>
            </w:r>
            <w:r>
              <w:rPr>
                <w:rFonts w:hint="eastAsia"/>
                <w:bCs/>
                <w:color w:val="auto"/>
                <w:sz w:val="24"/>
                <w:lang w:val="en-US" w:eastAsia="zh-CN"/>
              </w:rPr>
              <w:t>三种</w:t>
            </w:r>
            <w:r>
              <w:rPr>
                <w:rFonts w:hint="eastAsia"/>
                <w:bCs/>
                <w:color w:val="auto"/>
                <w:sz w:val="24"/>
              </w:rPr>
              <w:t>级别</w:t>
            </w:r>
            <w:r>
              <w:rPr>
                <w:rFonts w:hint="eastAsia"/>
                <w:bCs/>
                <w:color w:val="auto"/>
                <w:sz w:val="24"/>
                <w:lang w:eastAsia="zh-CN"/>
              </w:rPr>
              <w:t>的</w:t>
            </w:r>
            <w:r>
              <w:rPr>
                <w:rFonts w:hint="eastAsia"/>
                <w:bCs/>
                <w:color w:val="auto"/>
                <w:sz w:val="24"/>
              </w:rPr>
              <w:t>产品。</w:t>
            </w:r>
            <w:r>
              <w:rPr>
                <w:rFonts w:hint="eastAsia"/>
                <w:bCs/>
                <w:color w:val="auto"/>
                <w:sz w:val="24"/>
                <w:lang w:val="en-US" w:eastAsia="zh-CN"/>
              </w:rPr>
              <w:t>全程密闭进行。</w:t>
            </w:r>
          </w:p>
          <w:p w14:paraId="110E27AE">
            <w:pPr>
              <w:spacing w:line="360" w:lineRule="auto"/>
              <w:ind w:firstLine="480" w:firstLineChars="200"/>
              <w:rPr>
                <w:rFonts w:hint="eastAsia"/>
                <w:bCs/>
                <w:color w:val="auto"/>
                <w:sz w:val="24"/>
                <w:lang w:val="en-US" w:eastAsia="zh-CN"/>
              </w:rPr>
            </w:pPr>
            <w:r>
              <w:rPr>
                <w:rFonts w:hint="eastAsia"/>
                <w:bCs/>
                <w:color w:val="auto"/>
                <w:sz w:val="24"/>
                <w:lang w:eastAsia="zh-CN"/>
              </w:rPr>
              <w:t>（</w:t>
            </w:r>
            <w:r>
              <w:rPr>
                <w:rFonts w:hint="eastAsia"/>
                <w:bCs/>
                <w:color w:val="auto"/>
                <w:sz w:val="24"/>
                <w:lang w:val="en-US" w:eastAsia="zh-CN"/>
              </w:rPr>
              <w:t>7</w:t>
            </w:r>
            <w:r>
              <w:rPr>
                <w:rFonts w:hint="eastAsia"/>
                <w:bCs/>
                <w:color w:val="auto"/>
                <w:sz w:val="24"/>
                <w:lang w:eastAsia="zh-CN"/>
              </w:rPr>
              <w:t>）</w:t>
            </w:r>
            <w:r>
              <w:rPr>
                <w:rFonts w:hint="eastAsia"/>
                <w:b/>
                <w:bCs w:val="0"/>
                <w:color w:val="auto"/>
                <w:sz w:val="24"/>
                <w:lang w:val="en-US" w:eastAsia="zh-CN"/>
              </w:rPr>
              <w:t>检验</w:t>
            </w:r>
            <w:r>
              <w:rPr>
                <w:rFonts w:hint="eastAsia"/>
                <w:bCs/>
                <w:color w:val="auto"/>
                <w:sz w:val="24"/>
                <w:lang w:val="en-US" w:eastAsia="zh-CN"/>
              </w:rPr>
              <w:t>：</w:t>
            </w:r>
            <w:r>
              <w:rPr>
                <w:rFonts w:hint="default"/>
                <w:bCs/>
                <w:color w:val="auto"/>
                <w:sz w:val="24"/>
              </w:rPr>
              <w:t>产品经人工检验</w:t>
            </w:r>
            <w:r>
              <w:rPr>
                <w:rFonts w:hint="eastAsia"/>
                <w:bCs/>
                <w:color w:val="auto"/>
                <w:sz w:val="24"/>
                <w:lang w:eastAsia="zh-CN"/>
              </w:rPr>
              <w:t>，</w:t>
            </w:r>
            <w:r>
              <w:rPr>
                <w:rFonts w:hint="eastAsia"/>
                <w:bCs/>
                <w:color w:val="auto"/>
                <w:sz w:val="24"/>
                <w:lang w:val="en-US" w:eastAsia="zh-CN"/>
              </w:rPr>
              <w:t>不合格品重新加工，合格后即可包装入库。过程中会有固废S1-3产生。</w:t>
            </w:r>
          </w:p>
          <w:p w14:paraId="3F953FF4">
            <w:pPr>
              <w:spacing w:line="360" w:lineRule="auto"/>
              <w:ind w:firstLine="480" w:firstLineChars="200"/>
              <w:rPr>
                <w:rFonts w:hint="default"/>
                <w:bCs/>
                <w:color w:val="auto"/>
                <w:sz w:val="24"/>
              </w:rPr>
            </w:pPr>
            <w:r>
              <w:rPr>
                <w:rFonts w:hint="eastAsia"/>
                <w:bCs/>
                <w:color w:val="auto"/>
                <w:sz w:val="24"/>
                <w:lang w:eastAsia="zh-CN"/>
              </w:rPr>
              <w:t>（</w:t>
            </w:r>
            <w:r>
              <w:rPr>
                <w:rFonts w:hint="eastAsia"/>
                <w:bCs/>
                <w:color w:val="auto"/>
                <w:sz w:val="24"/>
                <w:lang w:val="en-US" w:eastAsia="zh-CN"/>
              </w:rPr>
              <w:t>8</w:t>
            </w:r>
            <w:r>
              <w:rPr>
                <w:rFonts w:hint="eastAsia"/>
                <w:bCs/>
                <w:color w:val="auto"/>
                <w:sz w:val="24"/>
                <w:lang w:eastAsia="zh-CN"/>
              </w:rPr>
              <w:t>）</w:t>
            </w:r>
            <w:r>
              <w:rPr>
                <w:rFonts w:hint="eastAsia"/>
                <w:b/>
                <w:bCs w:val="0"/>
                <w:color w:val="auto"/>
                <w:sz w:val="24"/>
                <w:lang w:val="en-US" w:eastAsia="zh-CN"/>
              </w:rPr>
              <w:t>包装入库</w:t>
            </w:r>
            <w:r>
              <w:rPr>
                <w:rFonts w:hint="eastAsia"/>
                <w:bCs/>
                <w:color w:val="auto"/>
                <w:sz w:val="24"/>
                <w:lang w:val="en-US" w:eastAsia="zh-CN"/>
              </w:rPr>
              <w:t>：检验合格的成品按规格用自动包装机进行包装入库，过程中会有包装粉尘G3-3产生。</w:t>
            </w:r>
          </w:p>
          <w:p w14:paraId="4BED51C5">
            <w:pPr>
              <w:spacing w:line="500" w:lineRule="atLeast"/>
              <w:rPr>
                <w:b/>
                <w:color w:val="auto"/>
                <w:sz w:val="24"/>
              </w:rPr>
            </w:pPr>
            <w:r>
              <w:rPr>
                <w:rFonts w:hint="eastAsia"/>
                <w:b/>
                <w:color w:val="auto"/>
                <w:sz w:val="24"/>
              </w:rPr>
              <w:t>其他产污环节分析：</w:t>
            </w:r>
          </w:p>
          <w:p w14:paraId="3ACBA9C0">
            <w:pPr>
              <w:spacing w:line="500" w:lineRule="atLeast"/>
              <w:ind w:firstLine="480" w:firstLineChars="200"/>
              <w:rPr>
                <w:bCs/>
                <w:color w:val="auto"/>
                <w:sz w:val="24"/>
              </w:rPr>
            </w:pPr>
            <w:r>
              <w:rPr>
                <w:rFonts w:hint="eastAsia"/>
                <w:bCs/>
                <w:color w:val="auto"/>
                <w:sz w:val="24"/>
              </w:rPr>
              <w:t>（1）建设项目生产中会产生相应类别的污染物，公辅设施也会产生相应污染物，主要为W1厂区职工生活污水、</w:t>
            </w:r>
            <w:r>
              <w:rPr>
                <w:rFonts w:hint="eastAsia"/>
                <w:bCs/>
                <w:color w:val="auto"/>
                <w:sz w:val="24"/>
                <w:lang w:val="en-US" w:eastAsia="zh-CN"/>
              </w:rPr>
              <w:t>S1不合格品、</w:t>
            </w:r>
            <w:r>
              <w:rPr>
                <w:rFonts w:hint="eastAsia"/>
                <w:bCs/>
                <w:color w:val="auto"/>
                <w:sz w:val="24"/>
              </w:rPr>
              <w:t>S</w:t>
            </w:r>
            <w:r>
              <w:rPr>
                <w:rFonts w:hint="eastAsia"/>
                <w:bCs/>
                <w:color w:val="auto"/>
                <w:sz w:val="24"/>
                <w:lang w:val="en-US" w:eastAsia="zh-CN"/>
              </w:rPr>
              <w:t>2</w:t>
            </w:r>
            <w:r>
              <w:rPr>
                <w:rFonts w:hint="eastAsia"/>
                <w:bCs/>
                <w:color w:val="auto"/>
                <w:sz w:val="24"/>
              </w:rPr>
              <w:t>废机油、S</w:t>
            </w:r>
            <w:r>
              <w:rPr>
                <w:rFonts w:hint="eastAsia"/>
                <w:bCs/>
                <w:color w:val="auto"/>
                <w:sz w:val="24"/>
                <w:lang w:val="en-US" w:eastAsia="zh-CN"/>
              </w:rPr>
              <w:t>3</w:t>
            </w:r>
            <w:r>
              <w:rPr>
                <w:rFonts w:hint="eastAsia"/>
                <w:bCs/>
                <w:color w:val="auto"/>
                <w:sz w:val="24"/>
              </w:rPr>
              <w:t>废机油桶、S</w:t>
            </w:r>
            <w:r>
              <w:rPr>
                <w:rFonts w:hint="eastAsia"/>
                <w:bCs/>
                <w:color w:val="auto"/>
                <w:sz w:val="24"/>
                <w:lang w:val="en-US" w:eastAsia="zh-CN"/>
              </w:rPr>
              <w:t>4原辅料包装袋</w:t>
            </w:r>
            <w:r>
              <w:rPr>
                <w:rFonts w:hint="eastAsia"/>
                <w:bCs/>
                <w:color w:val="auto"/>
                <w:sz w:val="24"/>
              </w:rPr>
              <w:t>、S</w:t>
            </w:r>
            <w:r>
              <w:rPr>
                <w:rFonts w:hint="eastAsia"/>
                <w:bCs/>
                <w:color w:val="auto"/>
                <w:sz w:val="24"/>
                <w:lang w:val="en-US" w:eastAsia="zh-CN"/>
              </w:rPr>
              <w:t>5</w:t>
            </w:r>
            <w:r>
              <w:rPr>
                <w:rFonts w:hint="eastAsia"/>
                <w:bCs/>
                <w:color w:val="auto"/>
                <w:sz w:val="24"/>
              </w:rPr>
              <w:t>员工生活垃圾。</w:t>
            </w:r>
          </w:p>
          <w:p w14:paraId="5226C393">
            <w:pPr>
              <w:spacing w:line="500" w:lineRule="atLeast"/>
              <w:ind w:firstLine="480" w:firstLineChars="200"/>
              <w:rPr>
                <w:bCs/>
                <w:color w:val="auto"/>
                <w:sz w:val="24"/>
              </w:rPr>
            </w:pPr>
            <w:r>
              <w:rPr>
                <w:bCs/>
                <w:color w:val="auto"/>
                <w:sz w:val="24"/>
              </w:rPr>
              <w:t>本项目主要产污环节和排污特征见下表</w:t>
            </w:r>
            <w:r>
              <w:rPr>
                <w:rFonts w:hint="eastAsia"/>
                <w:bCs/>
                <w:color w:val="auto"/>
                <w:sz w:val="24"/>
              </w:rPr>
              <w:t>：</w:t>
            </w:r>
          </w:p>
          <w:p w14:paraId="25AD4086">
            <w:pPr>
              <w:spacing w:line="500" w:lineRule="exact"/>
              <w:ind w:firstLine="482" w:firstLineChars="200"/>
              <w:jc w:val="center"/>
              <w:rPr>
                <w:b/>
                <w:bCs/>
                <w:color w:val="auto"/>
                <w:sz w:val="24"/>
              </w:rPr>
            </w:pPr>
            <w:r>
              <w:rPr>
                <w:b/>
                <w:bCs/>
                <w:color w:val="auto"/>
                <w:sz w:val="24"/>
              </w:rPr>
              <w:t>表</w:t>
            </w:r>
            <w:r>
              <w:rPr>
                <w:rFonts w:hint="eastAsia"/>
                <w:b/>
                <w:bCs/>
                <w:color w:val="auto"/>
                <w:sz w:val="24"/>
              </w:rPr>
              <w:t>2</w:t>
            </w:r>
            <w:r>
              <w:rPr>
                <w:b/>
                <w:bCs/>
                <w:color w:val="auto"/>
                <w:sz w:val="24"/>
              </w:rPr>
              <w:t>-7</w:t>
            </w:r>
            <w:r>
              <w:rPr>
                <w:rFonts w:hint="eastAsia"/>
                <w:b/>
                <w:bCs/>
                <w:color w:val="auto"/>
                <w:sz w:val="24"/>
              </w:rPr>
              <w:t xml:space="preserve"> </w:t>
            </w:r>
            <w:r>
              <w:rPr>
                <w:b/>
                <w:bCs/>
                <w:color w:val="auto"/>
                <w:sz w:val="24"/>
              </w:rPr>
              <w:t xml:space="preserve">  主要产污环节一览表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080"/>
              <w:gridCol w:w="886"/>
              <w:gridCol w:w="1656"/>
              <w:gridCol w:w="3725"/>
            </w:tblGrid>
            <w:tr w14:paraId="26A2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 w:type="pct"/>
                  <w:vAlign w:val="center"/>
                </w:tcPr>
                <w:p w14:paraId="285CB23B">
                  <w:pPr>
                    <w:spacing w:line="240" w:lineRule="exact"/>
                    <w:jc w:val="center"/>
                    <w:rPr>
                      <w:bCs/>
                      <w:color w:val="auto"/>
                      <w:szCs w:val="21"/>
                    </w:rPr>
                  </w:pPr>
                  <w:r>
                    <w:rPr>
                      <w:bCs/>
                      <w:color w:val="auto"/>
                      <w:szCs w:val="21"/>
                    </w:rPr>
                    <w:t>类别</w:t>
                  </w:r>
                </w:p>
              </w:tc>
              <w:tc>
                <w:tcPr>
                  <w:tcW w:w="691" w:type="pct"/>
                  <w:vAlign w:val="center"/>
                </w:tcPr>
                <w:p w14:paraId="7AC58926">
                  <w:pPr>
                    <w:spacing w:line="240" w:lineRule="exact"/>
                    <w:jc w:val="center"/>
                    <w:rPr>
                      <w:bCs/>
                      <w:color w:val="auto"/>
                      <w:szCs w:val="21"/>
                    </w:rPr>
                  </w:pPr>
                  <w:r>
                    <w:rPr>
                      <w:rFonts w:hint="eastAsia"/>
                      <w:bCs/>
                      <w:color w:val="auto"/>
                      <w:szCs w:val="21"/>
                    </w:rPr>
                    <w:t>代码</w:t>
                  </w:r>
                </w:p>
              </w:tc>
              <w:tc>
                <w:tcPr>
                  <w:tcW w:w="567" w:type="pct"/>
                  <w:vAlign w:val="center"/>
                </w:tcPr>
                <w:p w14:paraId="7F6A8E10">
                  <w:pPr>
                    <w:spacing w:line="240" w:lineRule="exact"/>
                    <w:jc w:val="center"/>
                    <w:rPr>
                      <w:bCs/>
                      <w:color w:val="auto"/>
                      <w:szCs w:val="21"/>
                    </w:rPr>
                  </w:pPr>
                  <w:r>
                    <w:rPr>
                      <w:bCs/>
                      <w:color w:val="auto"/>
                      <w:szCs w:val="21"/>
                    </w:rPr>
                    <w:t>产生点</w:t>
                  </w:r>
                </w:p>
              </w:tc>
              <w:tc>
                <w:tcPr>
                  <w:tcW w:w="1060" w:type="pct"/>
                  <w:vAlign w:val="center"/>
                </w:tcPr>
                <w:p w14:paraId="5085B1EF">
                  <w:pPr>
                    <w:spacing w:line="240" w:lineRule="exact"/>
                    <w:jc w:val="center"/>
                    <w:rPr>
                      <w:bCs/>
                      <w:color w:val="auto"/>
                      <w:szCs w:val="21"/>
                    </w:rPr>
                  </w:pPr>
                  <w:r>
                    <w:rPr>
                      <w:bCs/>
                      <w:color w:val="auto"/>
                      <w:szCs w:val="21"/>
                    </w:rPr>
                    <w:t>污染物</w:t>
                  </w:r>
                </w:p>
              </w:tc>
              <w:tc>
                <w:tcPr>
                  <w:tcW w:w="2384" w:type="pct"/>
                  <w:vAlign w:val="center"/>
                </w:tcPr>
                <w:p w14:paraId="6E6E104A">
                  <w:pPr>
                    <w:spacing w:line="240" w:lineRule="exact"/>
                    <w:jc w:val="center"/>
                    <w:rPr>
                      <w:bCs/>
                      <w:color w:val="auto"/>
                      <w:szCs w:val="21"/>
                    </w:rPr>
                  </w:pPr>
                  <w:r>
                    <w:rPr>
                      <w:bCs/>
                      <w:color w:val="auto"/>
                      <w:szCs w:val="21"/>
                    </w:rPr>
                    <w:t>采取的措施及去向</w:t>
                  </w:r>
                </w:p>
              </w:tc>
            </w:tr>
            <w:tr w14:paraId="55B0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 w:type="pct"/>
                  <w:vMerge w:val="restart"/>
                  <w:vAlign w:val="center"/>
                </w:tcPr>
                <w:p w14:paraId="1120BDE8">
                  <w:pPr>
                    <w:spacing w:line="240" w:lineRule="exact"/>
                    <w:jc w:val="center"/>
                    <w:rPr>
                      <w:bCs/>
                      <w:color w:val="auto"/>
                      <w:szCs w:val="21"/>
                    </w:rPr>
                  </w:pPr>
                  <w:r>
                    <w:rPr>
                      <w:bCs/>
                      <w:color w:val="auto"/>
                      <w:szCs w:val="21"/>
                    </w:rPr>
                    <w:t>废气</w:t>
                  </w:r>
                </w:p>
              </w:tc>
              <w:tc>
                <w:tcPr>
                  <w:tcW w:w="691" w:type="pct"/>
                  <w:vAlign w:val="center"/>
                </w:tcPr>
                <w:p w14:paraId="7311638B">
                  <w:pPr>
                    <w:spacing w:line="240" w:lineRule="exact"/>
                    <w:jc w:val="center"/>
                    <w:rPr>
                      <w:rFonts w:hint="default"/>
                      <w:color w:val="auto"/>
                      <w:szCs w:val="21"/>
                      <w:lang w:val="en-US"/>
                    </w:rPr>
                  </w:pPr>
                  <w:r>
                    <w:rPr>
                      <w:rFonts w:hint="eastAsia"/>
                      <w:color w:val="auto"/>
                      <w:szCs w:val="21"/>
                      <w:lang w:val="en-US" w:eastAsia="zh-CN"/>
                    </w:rPr>
                    <w:t>G1-1</w:t>
                  </w:r>
                </w:p>
                <w:p w14:paraId="014E444D">
                  <w:pPr>
                    <w:spacing w:line="240" w:lineRule="exact"/>
                    <w:jc w:val="center"/>
                    <w:rPr>
                      <w:color w:val="auto"/>
                      <w:szCs w:val="21"/>
                    </w:rPr>
                  </w:pPr>
                  <w:r>
                    <w:rPr>
                      <w:rFonts w:hint="eastAsia"/>
                      <w:color w:val="auto"/>
                      <w:szCs w:val="21"/>
                    </w:rPr>
                    <w:t>G</w:t>
                  </w:r>
                  <w:r>
                    <w:rPr>
                      <w:rFonts w:hint="eastAsia"/>
                      <w:color w:val="auto"/>
                      <w:szCs w:val="21"/>
                      <w:lang w:val="en-US" w:eastAsia="zh-CN"/>
                    </w:rPr>
                    <w:t>1-2</w:t>
                  </w:r>
                </w:p>
                <w:p w14:paraId="7B9DBFD3">
                  <w:pPr>
                    <w:spacing w:line="240" w:lineRule="exact"/>
                    <w:jc w:val="center"/>
                    <w:rPr>
                      <w:color w:val="auto"/>
                    </w:rPr>
                  </w:pPr>
                  <w:r>
                    <w:rPr>
                      <w:rFonts w:hint="eastAsia"/>
                      <w:color w:val="auto"/>
                      <w:szCs w:val="21"/>
                    </w:rPr>
                    <w:t>G</w:t>
                  </w:r>
                  <w:r>
                    <w:rPr>
                      <w:rFonts w:hint="eastAsia"/>
                      <w:color w:val="auto"/>
                      <w:szCs w:val="21"/>
                      <w:lang w:val="en-US" w:eastAsia="zh-CN"/>
                    </w:rPr>
                    <w:t>1</w:t>
                  </w:r>
                  <w:r>
                    <w:rPr>
                      <w:rFonts w:hint="eastAsia"/>
                      <w:color w:val="auto"/>
                      <w:szCs w:val="21"/>
                    </w:rPr>
                    <w:t>-</w:t>
                  </w:r>
                  <w:r>
                    <w:rPr>
                      <w:rFonts w:hint="eastAsia"/>
                      <w:color w:val="auto"/>
                      <w:szCs w:val="21"/>
                      <w:lang w:val="en-US" w:eastAsia="zh-CN"/>
                    </w:rPr>
                    <w:t>3</w:t>
                  </w:r>
                </w:p>
                <w:p w14:paraId="1B034C46">
                  <w:pPr>
                    <w:jc w:val="center"/>
                    <w:rPr>
                      <w:color w:val="auto"/>
                      <w:szCs w:val="21"/>
                    </w:rPr>
                  </w:pPr>
                  <w:r>
                    <w:rPr>
                      <w:rFonts w:hint="eastAsia"/>
                      <w:color w:val="auto"/>
                      <w:szCs w:val="21"/>
                    </w:rPr>
                    <w:t>G</w:t>
                  </w:r>
                  <w:r>
                    <w:rPr>
                      <w:rFonts w:hint="eastAsia"/>
                      <w:color w:val="auto"/>
                      <w:szCs w:val="21"/>
                      <w:lang w:val="en-US" w:eastAsia="zh-CN"/>
                    </w:rPr>
                    <w:t>1-4</w:t>
                  </w:r>
                </w:p>
              </w:tc>
              <w:tc>
                <w:tcPr>
                  <w:tcW w:w="567" w:type="pct"/>
                  <w:vAlign w:val="center"/>
                </w:tcPr>
                <w:p w14:paraId="1673D4A5">
                  <w:pPr>
                    <w:jc w:val="center"/>
                    <w:rPr>
                      <w:color w:val="auto"/>
                      <w:szCs w:val="21"/>
                    </w:rPr>
                  </w:pPr>
                  <w:r>
                    <w:rPr>
                      <w:rFonts w:hint="eastAsia"/>
                      <w:color w:val="auto"/>
                      <w:szCs w:val="21"/>
                      <w:lang w:val="en-US" w:eastAsia="zh-CN"/>
                    </w:rPr>
                    <w:t>投料</w:t>
                  </w:r>
                </w:p>
              </w:tc>
              <w:tc>
                <w:tcPr>
                  <w:tcW w:w="1060" w:type="pct"/>
                  <w:vAlign w:val="center"/>
                </w:tcPr>
                <w:p w14:paraId="1F2EBCCB">
                  <w:pPr>
                    <w:spacing w:line="240" w:lineRule="exact"/>
                    <w:jc w:val="center"/>
                    <w:rPr>
                      <w:bCs/>
                      <w:color w:val="auto"/>
                      <w:szCs w:val="21"/>
                    </w:rPr>
                  </w:pPr>
                  <w:r>
                    <w:rPr>
                      <w:rFonts w:hint="eastAsia"/>
                      <w:bCs/>
                      <w:color w:val="auto"/>
                      <w:szCs w:val="21"/>
                      <w:lang w:val="en-US" w:eastAsia="zh-CN"/>
                    </w:rPr>
                    <w:t>粉尘</w:t>
                  </w:r>
                </w:p>
              </w:tc>
              <w:tc>
                <w:tcPr>
                  <w:tcW w:w="2384" w:type="pct"/>
                  <w:vAlign w:val="center"/>
                </w:tcPr>
                <w:p w14:paraId="3DA76A9E">
                  <w:pPr>
                    <w:spacing w:line="240" w:lineRule="exact"/>
                    <w:jc w:val="center"/>
                    <w:rPr>
                      <w:color w:val="auto"/>
                      <w:szCs w:val="21"/>
                    </w:rPr>
                  </w:pPr>
                  <w:r>
                    <w:rPr>
                      <w:rFonts w:hint="eastAsia"/>
                      <w:color w:val="auto"/>
                      <w:szCs w:val="21"/>
                    </w:rPr>
                    <w:t>使用</w:t>
                  </w:r>
                  <w:r>
                    <w:rPr>
                      <w:rFonts w:hint="eastAsia"/>
                      <w:color w:val="auto"/>
                      <w:szCs w:val="21"/>
                      <w:lang w:val="en-US" w:eastAsia="zh-CN"/>
                    </w:rPr>
                    <w:t>布袋除尘器收集</w:t>
                  </w:r>
                  <w:r>
                    <w:rPr>
                      <w:rFonts w:hint="eastAsia"/>
                      <w:color w:val="auto"/>
                      <w:szCs w:val="21"/>
                    </w:rPr>
                    <w:t>处理后的废气经15m高的排气筒DA001排放，</w:t>
                  </w:r>
                  <w:r>
                    <w:rPr>
                      <w:rFonts w:hint="eastAsia"/>
                      <w:color w:val="auto"/>
                      <w:szCs w:val="21"/>
                      <w:lang w:val="en-US" w:eastAsia="zh-CN"/>
                    </w:rPr>
                    <w:t>未收集</w:t>
                  </w:r>
                  <w:r>
                    <w:rPr>
                      <w:rFonts w:hint="eastAsia"/>
                      <w:color w:val="auto"/>
                      <w:szCs w:val="21"/>
                    </w:rPr>
                    <w:t>废气无组织排放</w:t>
                  </w:r>
                </w:p>
              </w:tc>
            </w:tr>
            <w:tr w14:paraId="66CE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 w:type="pct"/>
                  <w:vMerge w:val="continue"/>
                  <w:vAlign w:val="center"/>
                </w:tcPr>
                <w:p w14:paraId="576A672F">
                  <w:pPr>
                    <w:spacing w:line="240" w:lineRule="exact"/>
                    <w:jc w:val="center"/>
                    <w:rPr>
                      <w:bCs/>
                      <w:color w:val="auto"/>
                      <w:szCs w:val="21"/>
                    </w:rPr>
                  </w:pPr>
                </w:p>
              </w:tc>
              <w:tc>
                <w:tcPr>
                  <w:tcW w:w="691" w:type="pct"/>
                  <w:vAlign w:val="center"/>
                </w:tcPr>
                <w:p w14:paraId="17D5FC4E">
                  <w:pPr>
                    <w:jc w:val="center"/>
                    <w:rPr>
                      <w:rFonts w:hint="eastAsia"/>
                      <w:lang w:val="en-US" w:eastAsia="zh-CN"/>
                    </w:rPr>
                  </w:pPr>
                  <w:r>
                    <w:rPr>
                      <w:rFonts w:hint="eastAsia"/>
                      <w:lang w:val="en-US" w:eastAsia="zh-CN"/>
                    </w:rPr>
                    <w:t>G2-1G2-2</w:t>
                  </w:r>
                </w:p>
                <w:p w14:paraId="7BAD2660">
                  <w:pPr>
                    <w:jc w:val="center"/>
                    <w:rPr>
                      <w:rFonts w:hint="default"/>
                      <w:lang w:val="en-US" w:eastAsia="zh-CN"/>
                    </w:rPr>
                  </w:pPr>
                  <w:r>
                    <w:rPr>
                      <w:rFonts w:hint="eastAsia"/>
                      <w:lang w:val="en-US" w:eastAsia="zh-CN"/>
                    </w:rPr>
                    <w:t>G2</w:t>
                  </w:r>
                  <w:r>
                    <w:rPr>
                      <w:rFonts w:hint="eastAsia" w:ascii="Times New Roman" w:hAnsi="Times New Roman" w:eastAsia="宋体" w:cs="Times New Roman"/>
                      <w:b w:val="0"/>
                      <w:bCs w:val="0"/>
                      <w:kern w:val="2"/>
                      <w:sz w:val="21"/>
                      <w:szCs w:val="24"/>
                      <w:lang w:val="en-US" w:eastAsia="zh-CN" w:bidi="ar-SA"/>
                    </w:rPr>
                    <w:t>-3</w:t>
                  </w:r>
                </w:p>
              </w:tc>
              <w:tc>
                <w:tcPr>
                  <w:tcW w:w="567" w:type="pct"/>
                  <w:vAlign w:val="center"/>
                </w:tcPr>
                <w:p w14:paraId="003B86F3">
                  <w:pPr>
                    <w:jc w:val="center"/>
                    <w:rPr>
                      <w:rFonts w:hint="default"/>
                      <w:color w:val="auto"/>
                      <w:szCs w:val="21"/>
                      <w:lang w:val="en-US" w:eastAsia="zh-CN"/>
                    </w:rPr>
                  </w:pPr>
                  <w:r>
                    <w:rPr>
                      <w:rFonts w:hint="eastAsia"/>
                      <w:color w:val="auto"/>
                      <w:szCs w:val="21"/>
                      <w:lang w:val="en-US" w:eastAsia="zh-CN"/>
                    </w:rPr>
                    <w:t>卸料</w:t>
                  </w:r>
                </w:p>
              </w:tc>
              <w:tc>
                <w:tcPr>
                  <w:tcW w:w="1060" w:type="pct"/>
                  <w:vAlign w:val="center"/>
                </w:tcPr>
                <w:p w14:paraId="1E50F0E6">
                  <w:pPr>
                    <w:spacing w:line="240" w:lineRule="exact"/>
                    <w:jc w:val="center"/>
                    <w:rPr>
                      <w:rFonts w:hint="default"/>
                      <w:bCs/>
                      <w:color w:val="auto"/>
                      <w:szCs w:val="21"/>
                      <w:lang w:val="en-US" w:eastAsia="zh-CN"/>
                    </w:rPr>
                  </w:pPr>
                  <w:r>
                    <w:rPr>
                      <w:rFonts w:hint="eastAsia"/>
                      <w:bCs/>
                      <w:color w:val="auto"/>
                      <w:szCs w:val="21"/>
                      <w:lang w:val="en-US" w:eastAsia="zh-CN"/>
                    </w:rPr>
                    <w:t>粉尘</w:t>
                  </w:r>
                </w:p>
              </w:tc>
              <w:tc>
                <w:tcPr>
                  <w:tcW w:w="2384" w:type="pct"/>
                  <w:vAlign w:val="center"/>
                </w:tcPr>
                <w:p w14:paraId="15E7AED0">
                  <w:pPr>
                    <w:spacing w:line="240" w:lineRule="exact"/>
                    <w:jc w:val="center"/>
                    <w:rPr>
                      <w:rFonts w:hint="eastAsia"/>
                      <w:color w:val="auto"/>
                      <w:szCs w:val="21"/>
                    </w:rPr>
                  </w:pPr>
                  <w:r>
                    <w:rPr>
                      <w:rFonts w:hint="eastAsia"/>
                      <w:color w:val="auto"/>
                      <w:szCs w:val="21"/>
                    </w:rPr>
                    <w:t>仓顶除尘器处理后无组织排放</w:t>
                  </w:r>
                </w:p>
              </w:tc>
            </w:tr>
            <w:tr w14:paraId="4D38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 w:type="pct"/>
                  <w:vMerge w:val="continue"/>
                  <w:vAlign w:val="center"/>
                </w:tcPr>
                <w:p w14:paraId="29AC5DF0">
                  <w:pPr>
                    <w:spacing w:line="240" w:lineRule="exact"/>
                    <w:jc w:val="center"/>
                    <w:rPr>
                      <w:bCs/>
                      <w:color w:val="auto"/>
                      <w:szCs w:val="21"/>
                    </w:rPr>
                  </w:pPr>
                </w:p>
              </w:tc>
              <w:tc>
                <w:tcPr>
                  <w:tcW w:w="691" w:type="pct"/>
                  <w:vAlign w:val="center"/>
                </w:tcPr>
                <w:p w14:paraId="3A6577B0">
                  <w:pPr>
                    <w:spacing w:line="240" w:lineRule="exact"/>
                    <w:jc w:val="center"/>
                    <w:rPr>
                      <w:rFonts w:hint="eastAsia"/>
                      <w:color w:val="auto"/>
                      <w:lang w:val="en-US" w:eastAsia="zh-CN"/>
                    </w:rPr>
                  </w:pPr>
                  <w:r>
                    <w:rPr>
                      <w:rFonts w:hint="eastAsia"/>
                      <w:color w:val="auto"/>
                    </w:rPr>
                    <w:t>G</w:t>
                  </w:r>
                  <w:r>
                    <w:rPr>
                      <w:rFonts w:hint="eastAsia"/>
                      <w:color w:val="auto"/>
                      <w:lang w:val="en-US" w:eastAsia="zh-CN"/>
                    </w:rPr>
                    <w:t>3-1</w:t>
                  </w:r>
                </w:p>
                <w:p w14:paraId="62889FDC">
                  <w:pPr>
                    <w:spacing w:line="240" w:lineRule="exact"/>
                    <w:jc w:val="center"/>
                    <w:rPr>
                      <w:rFonts w:hint="default"/>
                      <w:color w:val="auto"/>
                      <w:lang w:val="en-US" w:eastAsia="zh-CN"/>
                    </w:rPr>
                  </w:pPr>
                  <w:r>
                    <w:rPr>
                      <w:rFonts w:hint="eastAsia"/>
                      <w:color w:val="auto"/>
                    </w:rPr>
                    <w:t>G</w:t>
                  </w:r>
                  <w:r>
                    <w:rPr>
                      <w:rFonts w:hint="eastAsia"/>
                      <w:color w:val="auto"/>
                      <w:lang w:val="en-US" w:eastAsia="zh-CN"/>
                    </w:rPr>
                    <w:t>3-2</w:t>
                  </w:r>
                </w:p>
                <w:p w14:paraId="72B4F352">
                  <w:pPr>
                    <w:spacing w:line="240" w:lineRule="exact"/>
                    <w:jc w:val="center"/>
                    <w:rPr>
                      <w:rFonts w:hint="default"/>
                      <w:color w:val="auto"/>
                      <w:lang w:val="en-US" w:eastAsia="zh-CN"/>
                    </w:rPr>
                  </w:pPr>
                  <w:r>
                    <w:rPr>
                      <w:rFonts w:hint="eastAsia"/>
                      <w:color w:val="auto"/>
                    </w:rPr>
                    <w:t>G</w:t>
                  </w:r>
                  <w:r>
                    <w:rPr>
                      <w:rFonts w:hint="eastAsia"/>
                      <w:color w:val="auto"/>
                      <w:lang w:val="en-US" w:eastAsia="zh-CN"/>
                    </w:rPr>
                    <w:t>3-3</w:t>
                  </w:r>
                </w:p>
              </w:tc>
              <w:tc>
                <w:tcPr>
                  <w:tcW w:w="567" w:type="pct"/>
                  <w:vAlign w:val="center"/>
                </w:tcPr>
                <w:p w14:paraId="2CAD65C7">
                  <w:pPr>
                    <w:spacing w:line="240" w:lineRule="exact"/>
                    <w:ind w:firstLine="0" w:firstLineChars="0"/>
                    <w:jc w:val="center"/>
                    <w:rPr>
                      <w:rFonts w:hint="default" w:eastAsia="宋体"/>
                      <w:color w:val="auto"/>
                      <w:szCs w:val="21"/>
                      <w:lang w:val="en-US" w:eastAsia="zh-CN"/>
                    </w:rPr>
                  </w:pPr>
                  <w:r>
                    <w:rPr>
                      <w:rFonts w:hint="eastAsia"/>
                      <w:color w:val="auto"/>
                      <w:szCs w:val="21"/>
                      <w:lang w:val="en-US" w:eastAsia="zh-CN"/>
                    </w:rPr>
                    <w:t>包装</w:t>
                  </w:r>
                </w:p>
              </w:tc>
              <w:tc>
                <w:tcPr>
                  <w:tcW w:w="1060" w:type="pct"/>
                  <w:vAlign w:val="center"/>
                </w:tcPr>
                <w:p w14:paraId="02CD0B5C">
                  <w:pPr>
                    <w:spacing w:line="240" w:lineRule="exact"/>
                    <w:jc w:val="center"/>
                    <w:rPr>
                      <w:rFonts w:hint="eastAsia" w:eastAsia="宋体"/>
                      <w:bCs/>
                      <w:color w:val="auto"/>
                      <w:szCs w:val="21"/>
                      <w:lang w:val="en-US" w:eastAsia="zh-CN"/>
                    </w:rPr>
                  </w:pPr>
                  <w:r>
                    <w:rPr>
                      <w:rFonts w:hint="eastAsia"/>
                      <w:bCs/>
                      <w:color w:val="auto"/>
                      <w:szCs w:val="21"/>
                      <w:lang w:val="en-US" w:eastAsia="zh-CN"/>
                    </w:rPr>
                    <w:t>粉尘</w:t>
                  </w:r>
                </w:p>
              </w:tc>
              <w:tc>
                <w:tcPr>
                  <w:tcW w:w="2384" w:type="pct"/>
                  <w:vAlign w:val="center"/>
                </w:tcPr>
                <w:p w14:paraId="3295A998">
                  <w:pPr>
                    <w:spacing w:line="240" w:lineRule="exact"/>
                    <w:jc w:val="center"/>
                    <w:rPr>
                      <w:rFonts w:hint="eastAsia"/>
                      <w:bCs/>
                      <w:color w:val="auto"/>
                      <w:szCs w:val="21"/>
                    </w:rPr>
                  </w:pPr>
                  <w:r>
                    <w:rPr>
                      <w:rFonts w:hint="eastAsia"/>
                      <w:color w:val="auto"/>
                      <w:szCs w:val="21"/>
                    </w:rPr>
                    <w:t>使用</w:t>
                  </w:r>
                  <w:r>
                    <w:rPr>
                      <w:rFonts w:hint="eastAsia"/>
                      <w:color w:val="auto"/>
                      <w:szCs w:val="21"/>
                      <w:lang w:val="en-US" w:eastAsia="zh-CN"/>
                    </w:rPr>
                    <w:t>布袋除尘器收集</w:t>
                  </w:r>
                  <w:r>
                    <w:rPr>
                      <w:rFonts w:hint="eastAsia"/>
                      <w:color w:val="auto"/>
                      <w:szCs w:val="21"/>
                    </w:rPr>
                    <w:t>处理后的废气经15m高的排气筒DA001排放，</w:t>
                  </w:r>
                  <w:r>
                    <w:rPr>
                      <w:rFonts w:hint="eastAsia"/>
                      <w:color w:val="auto"/>
                      <w:szCs w:val="21"/>
                      <w:lang w:val="en-US" w:eastAsia="zh-CN"/>
                    </w:rPr>
                    <w:t>未收集</w:t>
                  </w:r>
                  <w:r>
                    <w:rPr>
                      <w:rFonts w:hint="eastAsia"/>
                      <w:color w:val="auto"/>
                      <w:szCs w:val="21"/>
                    </w:rPr>
                    <w:t>废气无组织排放</w:t>
                  </w:r>
                </w:p>
              </w:tc>
            </w:tr>
            <w:tr w14:paraId="64D9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 w:type="pct"/>
                  <w:vAlign w:val="center"/>
                </w:tcPr>
                <w:p w14:paraId="7B70E424">
                  <w:pPr>
                    <w:spacing w:line="240" w:lineRule="exact"/>
                    <w:jc w:val="center"/>
                    <w:rPr>
                      <w:bCs/>
                      <w:color w:val="auto"/>
                      <w:szCs w:val="21"/>
                    </w:rPr>
                  </w:pPr>
                  <w:r>
                    <w:rPr>
                      <w:rFonts w:hint="eastAsia"/>
                      <w:bCs/>
                      <w:color w:val="auto"/>
                      <w:szCs w:val="21"/>
                    </w:rPr>
                    <w:t>噪声</w:t>
                  </w:r>
                </w:p>
              </w:tc>
              <w:tc>
                <w:tcPr>
                  <w:tcW w:w="691" w:type="pct"/>
                  <w:vAlign w:val="center"/>
                </w:tcPr>
                <w:p w14:paraId="1FFEAC26">
                  <w:pPr>
                    <w:spacing w:line="240" w:lineRule="exact"/>
                    <w:jc w:val="center"/>
                    <w:rPr>
                      <w:color w:val="auto"/>
                      <w:szCs w:val="21"/>
                    </w:rPr>
                  </w:pPr>
                  <w:r>
                    <w:rPr>
                      <w:rFonts w:hint="eastAsia"/>
                      <w:bCs/>
                      <w:color w:val="auto"/>
                      <w:szCs w:val="21"/>
                    </w:rPr>
                    <w:t>N</w:t>
                  </w:r>
                </w:p>
              </w:tc>
              <w:tc>
                <w:tcPr>
                  <w:tcW w:w="567" w:type="pct"/>
                  <w:vAlign w:val="center"/>
                </w:tcPr>
                <w:p w14:paraId="5BEE1DE0">
                  <w:pPr>
                    <w:spacing w:line="240" w:lineRule="exact"/>
                    <w:jc w:val="center"/>
                    <w:rPr>
                      <w:color w:val="auto"/>
                      <w:szCs w:val="21"/>
                    </w:rPr>
                  </w:pPr>
                  <w:r>
                    <w:rPr>
                      <w:bCs/>
                      <w:color w:val="auto"/>
                      <w:szCs w:val="21"/>
                    </w:rPr>
                    <w:t>设备运行</w:t>
                  </w:r>
                </w:p>
              </w:tc>
              <w:tc>
                <w:tcPr>
                  <w:tcW w:w="1060" w:type="pct"/>
                  <w:vAlign w:val="center"/>
                </w:tcPr>
                <w:p w14:paraId="24804374">
                  <w:pPr>
                    <w:spacing w:line="240" w:lineRule="exact"/>
                    <w:jc w:val="center"/>
                    <w:rPr>
                      <w:bCs/>
                      <w:color w:val="auto"/>
                      <w:szCs w:val="21"/>
                    </w:rPr>
                  </w:pPr>
                  <w:r>
                    <w:rPr>
                      <w:bCs/>
                      <w:color w:val="auto"/>
                      <w:szCs w:val="21"/>
                    </w:rPr>
                    <w:t>噪声</w:t>
                  </w:r>
                </w:p>
              </w:tc>
              <w:tc>
                <w:tcPr>
                  <w:tcW w:w="2384" w:type="pct"/>
                  <w:vAlign w:val="center"/>
                </w:tcPr>
                <w:p w14:paraId="2A80F741">
                  <w:pPr>
                    <w:spacing w:line="240" w:lineRule="exact"/>
                    <w:jc w:val="center"/>
                    <w:rPr>
                      <w:bCs/>
                      <w:color w:val="auto"/>
                      <w:szCs w:val="21"/>
                    </w:rPr>
                  </w:pPr>
                  <w:r>
                    <w:rPr>
                      <w:bCs/>
                      <w:color w:val="auto"/>
                      <w:szCs w:val="21"/>
                    </w:rPr>
                    <w:t>建筑隔声，机座加隔振垫(圈)或设减振器</w:t>
                  </w:r>
                </w:p>
              </w:tc>
            </w:tr>
            <w:tr w14:paraId="6733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97" w:type="pct"/>
                  <w:vMerge w:val="restart"/>
                  <w:vAlign w:val="center"/>
                </w:tcPr>
                <w:p w14:paraId="335D5F28">
                  <w:pPr>
                    <w:spacing w:line="240" w:lineRule="exact"/>
                    <w:jc w:val="center"/>
                    <w:rPr>
                      <w:rFonts w:hint="eastAsia" w:eastAsia="宋体"/>
                      <w:bCs/>
                      <w:color w:val="auto"/>
                      <w:szCs w:val="21"/>
                      <w:lang w:eastAsia="zh-CN"/>
                    </w:rPr>
                  </w:pPr>
                  <w:r>
                    <w:rPr>
                      <w:rFonts w:hint="eastAsia"/>
                      <w:bCs/>
                      <w:color w:val="auto"/>
                      <w:szCs w:val="21"/>
                      <w:lang w:val="en-US" w:eastAsia="zh-CN"/>
                    </w:rPr>
                    <w:t>固废</w:t>
                  </w:r>
                </w:p>
              </w:tc>
              <w:tc>
                <w:tcPr>
                  <w:tcW w:w="691" w:type="pct"/>
                  <w:vAlign w:val="center"/>
                </w:tcPr>
                <w:p w14:paraId="27CCC880">
                  <w:pPr>
                    <w:spacing w:line="24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S1-1</w:t>
                  </w:r>
                </w:p>
                <w:p w14:paraId="74E96CF8">
                  <w:pPr>
                    <w:spacing w:line="240" w:lineRule="exact"/>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S</w:t>
                  </w:r>
                  <w:r>
                    <w:rPr>
                      <w:rFonts w:hint="eastAsia" w:ascii="宋体" w:hAnsi="宋体" w:eastAsia="宋体" w:cs="宋体"/>
                      <w:b w:val="0"/>
                      <w:bCs w:val="0"/>
                      <w:kern w:val="2"/>
                      <w:sz w:val="21"/>
                      <w:szCs w:val="21"/>
                      <w:highlight w:val="none"/>
                      <w:lang w:val="en-US" w:eastAsia="zh-CN" w:bidi="ar-SA"/>
                    </w:rPr>
                    <w:t>1-2</w:t>
                  </w:r>
                </w:p>
                <w:p w14:paraId="33451FE1">
                  <w:pPr>
                    <w:jc w:val="center"/>
                    <w:rPr>
                      <w:rFonts w:hint="default"/>
                      <w:highlight w:val="none"/>
                      <w:lang w:val="en-US" w:eastAsia="zh-CN"/>
                    </w:rPr>
                  </w:pPr>
                  <w:r>
                    <w:rPr>
                      <w:rFonts w:hint="eastAsia" w:ascii="宋体" w:hAnsi="宋体" w:eastAsia="宋体" w:cs="宋体"/>
                      <w:bCs/>
                      <w:color w:val="auto"/>
                      <w:sz w:val="21"/>
                      <w:szCs w:val="21"/>
                      <w:highlight w:val="none"/>
                      <w:lang w:val="en-US" w:eastAsia="zh-CN"/>
                    </w:rPr>
                    <w:t>S1-3</w:t>
                  </w:r>
                </w:p>
              </w:tc>
              <w:tc>
                <w:tcPr>
                  <w:tcW w:w="567" w:type="pct"/>
                  <w:vAlign w:val="center"/>
                </w:tcPr>
                <w:p w14:paraId="2A23EE18">
                  <w:pPr>
                    <w:spacing w:line="24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检验</w:t>
                  </w:r>
                </w:p>
              </w:tc>
              <w:tc>
                <w:tcPr>
                  <w:tcW w:w="1060" w:type="pct"/>
                  <w:vAlign w:val="center"/>
                </w:tcPr>
                <w:p w14:paraId="26BCA1A0">
                  <w:pPr>
                    <w:spacing w:line="240" w:lineRule="exact"/>
                    <w:jc w:val="center"/>
                    <w:rPr>
                      <w:rFonts w:hint="eastAsia" w:eastAsia="宋体"/>
                      <w:bCs/>
                      <w:color w:val="auto"/>
                      <w:szCs w:val="21"/>
                      <w:highlight w:val="none"/>
                      <w:lang w:val="en-US" w:eastAsia="zh-CN"/>
                    </w:rPr>
                  </w:pPr>
                  <w:r>
                    <w:rPr>
                      <w:rFonts w:hint="eastAsia"/>
                      <w:bCs/>
                      <w:color w:val="auto"/>
                      <w:szCs w:val="21"/>
                      <w:highlight w:val="none"/>
                      <w:lang w:val="en-US" w:eastAsia="zh-CN"/>
                    </w:rPr>
                    <w:t>不合格品</w:t>
                  </w:r>
                </w:p>
              </w:tc>
              <w:tc>
                <w:tcPr>
                  <w:tcW w:w="2384" w:type="pct"/>
                  <w:vAlign w:val="center"/>
                </w:tcPr>
                <w:p w14:paraId="6FC852E5">
                  <w:pPr>
                    <w:spacing w:line="240" w:lineRule="exact"/>
                    <w:jc w:val="center"/>
                    <w:rPr>
                      <w:rFonts w:hint="default" w:eastAsia="宋体"/>
                      <w:bCs/>
                      <w:color w:val="auto"/>
                      <w:szCs w:val="21"/>
                      <w:lang w:val="en-US" w:eastAsia="zh-CN"/>
                    </w:rPr>
                  </w:pPr>
                  <w:r>
                    <w:rPr>
                      <w:rFonts w:hint="eastAsia"/>
                      <w:bCs/>
                      <w:color w:val="auto"/>
                      <w:szCs w:val="21"/>
                      <w:lang w:val="en-US" w:eastAsia="zh-CN"/>
                    </w:rPr>
                    <w:t>回用作原料</w:t>
                  </w:r>
                </w:p>
              </w:tc>
            </w:tr>
            <w:tr w14:paraId="0199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7" w:type="pct"/>
                  <w:vMerge w:val="continue"/>
                  <w:vAlign w:val="center"/>
                </w:tcPr>
                <w:p w14:paraId="61C003FE">
                  <w:pPr>
                    <w:spacing w:line="240" w:lineRule="exact"/>
                    <w:jc w:val="center"/>
                    <w:rPr>
                      <w:rFonts w:hint="eastAsia" w:eastAsia="宋体"/>
                      <w:bCs/>
                      <w:color w:val="auto"/>
                      <w:szCs w:val="21"/>
                      <w:lang w:eastAsia="zh-CN"/>
                    </w:rPr>
                  </w:pPr>
                </w:p>
              </w:tc>
              <w:tc>
                <w:tcPr>
                  <w:tcW w:w="691" w:type="pct"/>
                  <w:vAlign w:val="center"/>
                </w:tcPr>
                <w:p w14:paraId="5674BDE7">
                  <w:pPr>
                    <w:spacing w:line="240" w:lineRule="exact"/>
                    <w:jc w:val="center"/>
                    <w:rPr>
                      <w:rFonts w:hint="eastAsia" w:eastAsia="宋体"/>
                      <w:color w:val="auto"/>
                      <w:szCs w:val="21"/>
                      <w:highlight w:val="none"/>
                      <w:lang w:val="en-US" w:eastAsia="zh-CN"/>
                    </w:rPr>
                  </w:pPr>
                  <w:r>
                    <w:rPr>
                      <w:rFonts w:hint="eastAsia"/>
                      <w:bCs/>
                      <w:color w:val="auto"/>
                      <w:szCs w:val="21"/>
                      <w:highlight w:val="none"/>
                    </w:rPr>
                    <w:t>S</w:t>
                  </w:r>
                  <w:r>
                    <w:rPr>
                      <w:rFonts w:hint="eastAsia"/>
                      <w:bCs/>
                      <w:color w:val="auto"/>
                      <w:szCs w:val="21"/>
                      <w:highlight w:val="none"/>
                      <w:lang w:val="en-US" w:eastAsia="zh-CN"/>
                    </w:rPr>
                    <w:t>2</w:t>
                  </w:r>
                </w:p>
              </w:tc>
              <w:tc>
                <w:tcPr>
                  <w:tcW w:w="567" w:type="pct"/>
                  <w:vMerge w:val="restart"/>
                  <w:vAlign w:val="center"/>
                </w:tcPr>
                <w:p w14:paraId="36107763">
                  <w:pPr>
                    <w:spacing w:line="240" w:lineRule="exact"/>
                    <w:jc w:val="center"/>
                    <w:rPr>
                      <w:color w:val="auto"/>
                      <w:szCs w:val="21"/>
                      <w:highlight w:val="none"/>
                    </w:rPr>
                  </w:pPr>
                  <w:r>
                    <w:rPr>
                      <w:rFonts w:hint="eastAsia"/>
                      <w:bCs/>
                      <w:color w:val="auto"/>
                      <w:szCs w:val="21"/>
                      <w:highlight w:val="none"/>
                    </w:rPr>
                    <w:t>设备维护</w:t>
                  </w:r>
                </w:p>
              </w:tc>
              <w:tc>
                <w:tcPr>
                  <w:tcW w:w="1060" w:type="pct"/>
                  <w:vAlign w:val="center"/>
                </w:tcPr>
                <w:p w14:paraId="166DC73D">
                  <w:pPr>
                    <w:spacing w:line="240" w:lineRule="exact"/>
                    <w:ind w:right="-107" w:rightChars="-51"/>
                    <w:jc w:val="center"/>
                    <w:rPr>
                      <w:bCs/>
                      <w:color w:val="auto"/>
                      <w:szCs w:val="21"/>
                      <w:highlight w:val="none"/>
                    </w:rPr>
                  </w:pPr>
                  <w:r>
                    <w:rPr>
                      <w:rFonts w:hint="eastAsia"/>
                      <w:bCs/>
                      <w:color w:val="auto"/>
                      <w:szCs w:val="21"/>
                      <w:highlight w:val="none"/>
                    </w:rPr>
                    <w:t>废机油</w:t>
                  </w:r>
                </w:p>
              </w:tc>
              <w:tc>
                <w:tcPr>
                  <w:tcW w:w="2384" w:type="pct"/>
                  <w:vMerge w:val="restart"/>
                  <w:vAlign w:val="center"/>
                </w:tcPr>
                <w:p w14:paraId="3A1BA14B">
                  <w:pPr>
                    <w:spacing w:line="240" w:lineRule="exact"/>
                    <w:jc w:val="center"/>
                    <w:rPr>
                      <w:rFonts w:hint="default" w:eastAsia="宋体"/>
                      <w:color w:val="auto"/>
                      <w:szCs w:val="21"/>
                      <w:lang w:val="en-US" w:eastAsia="zh-CN"/>
                    </w:rPr>
                  </w:pPr>
                  <w:r>
                    <w:rPr>
                      <w:rFonts w:hint="eastAsia"/>
                      <w:color w:val="auto"/>
                      <w:szCs w:val="21"/>
                      <w:lang w:val="en-US" w:eastAsia="zh-CN"/>
                    </w:rPr>
                    <w:t>暂存危废间，交由有资质单位处理</w:t>
                  </w:r>
                </w:p>
              </w:tc>
            </w:tr>
            <w:tr w14:paraId="7C2F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7" w:type="pct"/>
                  <w:vMerge w:val="continue"/>
                  <w:vAlign w:val="center"/>
                </w:tcPr>
                <w:p w14:paraId="5E20B936">
                  <w:pPr>
                    <w:spacing w:line="240" w:lineRule="exact"/>
                    <w:jc w:val="center"/>
                    <w:rPr>
                      <w:bCs/>
                      <w:color w:val="auto"/>
                      <w:szCs w:val="21"/>
                    </w:rPr>
                  </w:pPr>
                </w:p>
              </w:tc>
              <w:tc>
                <w:tcPr>
                  <w:tcW w:w="691" w:type="pct"/>
                  <w:vAlign w:val="center"/>
                </w:tcPr>
                <w:p w14:paraId="3B64BF50">
                  <w:pPr>
                    <w:spacing w:line="240" w:lineRule="exact"/>
                    <w:jc w:val="center"/>
                    <w:rPr>
                      <w:rFonts w:hint="eastAsia" w:eastAsia="宋体"/>
                      <w:color w:val="auto"/>
                      <w:highlight w:val="none"/>
                      <w:lang w:val="en-US" w:eastAsia="zh-CN"/>
                    </w:rPr>
                  </w:pPr>
                  <w:r>
                    <w:rPr>
                      <w:rFonts w:hint="eastAsia"/>
                      <w:bCs/>
                      <w:color w:val="auto"/>
                      <w:szCs w:val="21"/>
                      <w:highlight w:val="none"/>
                    </w:rPr>
                    <w:t>S</w:t>
                  </w:r>
                  <w:r>
                    <w:rPr>
                      <w:rFonts w:hint="eastAsia"/>
                      <w:bCs/>
                      <w:color w:val="auto"/>
                      <w:szCs w:val="21"/>
                      <w:highlight w:val="none"/>
                      <w:lang w:val="en-US" w:eastAsia="zh-CN"/>
                    </w:rPr>
                    <w:t>3</w:t>
                  </w:r>
                </w:p>
              </w:tc>
              <w:tc>
                <w:tcPr>
                  <w:tcW w:w="567" w:type="pct"/>
                  <w:vMerge w:val="continue"/>
                  <w:vAlign w:val="center"/>
                </w:tcPr>
                <w:p w14:paraId="6D8E21F6">
                  <w:pPr>
                    <w:spacing w:line="240" w:lineRule="exact"/>
                    <w:jc w:val="center"/>
                    <w:rPr>
                      <w:rFonts w:hint="eastAsia" w:eastAsia="宋体"/>
                      <w:color w:val="auto"/>
                      <w:szCs w:val="21"/>
                      <w:highlight w:val="none"/>
                      <w:lang w:eastAsia="zh-CN"/>
                    </w:rPr>
                  </w:pPr>
                </w:p>
              </w:tc>
              <w:tc>
                <w:tcPr>
                  <w:tcW w:w="1060" w:type="pct"/>
                  <w:vAlign w:val="center"/>
                </w:tcPr>
                <w:p w14:paraId="450C77EA">
                  <w:pPr>
                    <w:spacing w:line="240" w:lineRule="exact"/>
                    <w:jc w:val="center"/>
                    <w:rPr>
                      <w:rFonts w:hint="eastAsia" w:eastAsia="宋体"/>
                      <w:bCs/>
                      <w:color w:val="auto"/>
                      <w:szCs w:val="21"/>
                      <w:highlight w:val="none"/>
                      <w:lang w:eastAsia="zh-CN"/>
                    </w:rPr>
                  </w:pPr>
                  <w:r>
                    <w:rPr>
                      <w:rFonts w:hint="eastAsia"/>
                      <w:bCs/>
                      <w:color w:val="auto"/>
                      <w:szCs w:val="21"/>
                      <w:highlight w:val="none"/>
                    </w:rPr>
                    <w:t>废机油桶</w:t>
                  </w:r>
                </w:p>
              </w:tc>
              <w:tc>
                <w:tcPr>
                  <w:tcW w:w="2384" w:type="pct"/>
                  <w:vMerge w:val="continue"/>
                  <w:vAlign w:val="center"/>
                </w:tcPr>
                <w:p w14:paraId="1036A7B3">
                  <w:pPr>
                    <w:spacing w:line="240" w:lineRule="exact"/>
                    <w:jc w:val="center"/>
                    <w:rPr>
                      <w:color w:val="auto"/>
                      <w:szCs w:val="21"/>
                    </w:rPr>
                  </w:pPr>
                </w:p>
              </w:tc>
            </w:tr>
            <w:tr w14:paraId="509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7" w:type="pct"/>
                  <w:vMerge w:val="continue"/>
                  <w:vAlign w:val="center"/>
                </w:tcPr>
                <w:p w14:paraId="6421FF38">
                  <w:pPr>
                    <w:spacing w:line="240" w:lineRule="exact"/>
                    <w:jc w:val="center"/>
                    <w:rPr>
                      <w:bCs/>
                      <w:color w:val="auto"/>
                      <w:szCs w:val="21"/>
                    </w:rPr>
                  </w:pPr>
                </w:p>
              </w:tc>
              <w:tc>
                <w:tcPr>
                  <w:tcW w:w="691" w:type="pct"/>
                  <w:vAlign w:val="center"/>
                </w:tcPr>
                <w:p w14:paraId="6DFFC092">
                  <w:pPr>
                    <w:spacing w:line="240" w:lineRule="exact"/>
                    <w:jc w:val="center"/>
                    <w:rPr>
                      <w:rFonts w:hint="eastAsia" w:eastAsia="宋体"/>
                      <w:bCs/>
                      <w:color w:val="auto"/>
                      <w:szCs w:val="21"/>
                      <w:highlight w:val="none"/>
                      <w:lang w:val="en-US" w:eastAsia="zh-CN"/>
                    </w:rPr>
                  </w:pPr>
                  <w:r>
                    <w:rPr>
                      <w:rFonts w:hint="eastAsia"/>
                      <w:bCs/>
                      <w:color w:val="auto"/>
                      <w:szCs w:val="21"/>
                      <w:highlight w:val="none"/>
                    </w:rPr>
                    <w:t>S</w:t>
                  </w:r>
                  <w:r>
                    <w:rPr>
                      <w:rFonts w:hint="eastAsia"/>
                      <w:bCs/>
                      <w:color w:val="auto"/>
                      <w:szCs w:val="21"/>
                      <w:highlight w:val="none"/>
                      <w:lang w:val="en-US" w:eastAsia="zh-CN"/>
                    </w:rPr>
                    <w:t>4</w:t>
                  </w:r>
                </w:p>
              </w:tc>
              <w:tc>
                <w:tcPr>
                  <w:tcW w:w="567" w:type="pct"/>
                  <w:vAlign w:val="center"/>
                </w:tcPr>
                <w:p w14:paraId="6EF24C87">
                  <w:pPr>
                    <w:spacing w:line="240" w:lineRule="exact"/>
                    <w:jc w:val="center"/>
                    <w:rPr>
                      <w:rFonts w:hint="eastAsia"/>
                      <w:bCs/>
                      <w:color w:val="auto"/>
                      <w:szCs w:val="21"/>
                      <w:highlight w:val="none"/>
                    </w:rPr>
                  </w:pPr>
                  <w:r>
                    <w:rPr>
                      <w:rFonts w:hint="eastAsia"/>
                      <w:bCs/>
                      <w:color w:val="auto"/>
                      <w:szCs w:val="21"/>
                      <w:highlight w:val="none"/>
                      <w:lang w:val="en-US" w:eastAsia="zh-CN"/>
                    </w:rPr>
                    <w:t>投料</w:t>
                  </w:r>
                </w:p>
              </w:tc>
              <w:tc>
                <w:tcPr>
                  <w:tcW w:w="1060" w:type="pct"/>
                  <w:vAlign w:val="center"/>
                </w:tcPr>
                <w:p w14:paraId="38D76EDE">
                  <w:pPr>
                    <w:spacing w:line="240" w:lineRule="exact"/>
                    <w:jc w:val="center"/>
                    <w:rPr>
                      <w:rFonts w:hint="eastAsia"/>
                      <w:bCs/>
                      <w:color w:val="FF0000"/>
                      <w:szCs w:val="21"/>
                      <w:highlight w:val="none"/>
                    </w:rPr>
                  </w:pPr>
                  <w:r>
                    <w:rPr>
                      <w:rFonts w:hint="eastAsia"/>
                      <w:bCs/>
                      <w:color w:val="auto"/>
                      <w:szCs w:val="21"/>
                      <w:highlight w:val="none"/>
                    </w:rPr>
                    <w:t>废</w:t>
                  </w:r>
                  <w:r>
                    <w:rPr>
                      <w:rFonts w:hint="eastAsia"/>
                      <w:bCs/>
                      <w:color w:val="auto"/>
                      <w:szCs w:val="21"/>
                      <w:highlight w:val="none"/>
                      <w:lang w:val="en-US" w:eastAsia="zh-CN"/>
                    </w:rPr>
                    <w:t>原辅料包装袋</w:t>
                  </w:r>
                </w:p>
              </w:tc>
              <w:tc>
                <w:tcPr>
                  <w:tcW w:w="2384" w:type="pct"/>
                  <w:vAlign w:val="center"/>
                </w:tcPr>
                <w:p w14:paraId="3329AD95">
                  <w:pPr>
                    <w:spacing w:line="240" w:lineRule="exact"/>
                    <w:jc w:val="center"/>
                    <w:rPr>
                      <w:rFonts w:hint="default" w:eastAsia="宋体"/>
                      <w:bCs/>
                      <w:color w:val="auto"/>
                      <w:szCs w:val="21"/>
                      <w:lang w:val="en-US" w:eastAsia="zh-CN"/>
                    </w:rPr>
                  </w:pPr>
                  <w:r>
                    <w:rPr>
                      <w:rFonts w:hint="eastAsia"/>
                      <w:bCs/>
                      <w:color w:val="auto"/>
                      <w:szCs w:val="21"/>
                      <w:lang w:val="en-US" w:eastAsia="zh-CN"/>
                    </w:rPr>
                    <w:t>物资部门收集后统一外售</w:t>
                  </w:r>
                </w:p>
              </w:tc>
            </w:tr>
            <w:tr w14:paraId="1B26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7" w:type="pct"/>
                  <w:vMerge w:val="continue"/>
                  <w:vAlign w:val="center"/>
                </w:tcPr>
                <w:p w14:paraId="0F694DF1">
                  <w:pPr>
                    <w:spacing w:line="240" w:lineRule="exact"/>
                    <w:jc w:val="center"/>
                    <w:rPr>
                      <w:bCs/>
                      <w:color w:val="auto"/>
                      <w:szCs w:val="21"/>
                    </w:rPr>
                  </w:pPr>
                </w:p>
              </w:tc>
              <w:tc>
                <w:tcPr>
                  <w:tcW w:w="691" w:type="pct"/>
                  <w:vAlign w:val="center"/>
                </w:tcPr>
                <w:p w14:paraId="4CB14C70">
                  <w:pPr>
                    <w:spacing w:line="240" w:lineRule="exact"/>
                    <w:jc w:val="center"/>
                    <w:rPr>
                      <w:rFonts w:hint="eastAsia" w:eastAsia="宋体"/>
                      <w:bCs/>
                      <w:color w:val="auto"/>
                      <w:szCs w:val="21"/>
                      <w:highlight w:val="none"/>
                      <w:lang w:val="en-US" w:eastAsia="zh-CN"/>
                    </w:rPr>
                  </w:pPr>
                  <w:r>
                    <w:rPr>
                      <w:rFonts w:hint="eastAsia"/>
                      <w:bCs/>
                      <w:color w:val="auto"/>
                      <w:szCs w:val="21"/>
                      <w:highlight w:val="none"/>
                    </w:rPr>
                    <w:t>S</w:t>
                  </w:r>
                  <w:r>
                    <w:rPr>
                      <w:rFonts w:hint="eastAsia"/>
                      <w:bCs/>
                      <w:color w:val="auto"/>
                      <w:szCs w:val="21"/>
                      <w:highlight w:val="none"/>
                      <w:lang w:val="en-US" w:eastAsia="zh-CN"/>
                    </w:rPr>
                    <w:t>5</w:t>
                  </w:r>
                </w:p>
              </w:tc>
              <w:tc>
                <w:tcPr>
                  <w:tcW w:w="567" w:type="pct"/>
                  <w:vAlign w:val="center"/>
                </w:tcPr>
                <w:p w14:paraId="65DB306A">
                  <w:pPr>
                    <w:spacing w:line="240" w:lineRule="exact"/>
                    <w:jc w:val="center"/>
                    <w:rPr>
                      <w:rFonts w:hint="eastAsia"/>
                      <w:bCs/>
                      <w:color w:val="auto"/>
                      <w:szCs w:val="21"/>
                      <w:highlight w:val="none"/>
                    </w:rPr>
                  </w:pPr>
                  <w:r>
                    <w:rPr>
                      <w:rFonts w:hint="eastAsia"/>
                      <w:bCs/>
                      <w:color w:val="auto"/>
                      <w:szCs w:val="21"/>
                      <w:highlight w:val="none"/>
                    </w:rPr>
                    <w:t>员工生活</w:t>
                  </w:r>
                </w:p>
              </w:tc>
              <w:tc>
                <w:tcPr>
                  <w:tcW w:w="1060" w:type="pct"/>
                  <w:vAlign w:val="center"/>
                </w:tcPr>
                <w:p w14:paraId="5285D053">
                  <w:pPr>
                    <w:spacing w:line="240" w:lineRule="exact"/>
                    <w:ind w:left="-107" w:leftChars="-51" w:right="-107" w:rightChars="-51"/>
                    <w:jc w:val="center"/>
                    <w:rPr>
                      <w:rFonts w:hint="eastAsia"/>
                      <w:bCs/>
                      <w:color w:val="auto"/>
                      <w:szCs w:val="21"/>
                      <w:highlight w:val="none"/>
                    </w:rPr>
                  </w:pPr>
                  <w:r>
                    <w:rPr>
                      <w:rFonts w:hint="eastAsia" w:cs="Times New Roman"/>
                      <w:bCs/>
                      <w:color w:val="auto"/>
                      <w:kern w:val="2"/>
                      <w:sz w:val="21"/>
                      <w:szCs w:val="21"/>
                      <w:highlight w:val="none"/>
                      <w:lang w:val="en-US" w:eastAsia="zh-CN" w:bidi="ar-SA"/>
                    </w:rPr>
                    <w:t>生活垃圾</w:t>
                  </w:r>
                </w:p>
              </w:tc>
              <w:tc>
                <w:tcPr>
                  <w:tcW w:w="2384" w:type="pct"/>
                  <w:vAlign w:val="center"/>
                </w:tcPr>
                <w:p w14:paraId="7F5584F6">
                  <w:pPr>
                    <w:spacing w:line="240" w:lineRule="exact"/>
                    <w:jc w:val="center"/>
                    <w:rPr>
                      <w:rFonts w:hint="default" w:eastAsia="宋体"/>
                      <w:bCs/>
                      <w:color w:val="auto"/>
                      <w:szCs w:val="21"/>
                      <w:lang w:val="en-US" w:eastAsia="zh-CN"/>
                    </w:rPr>
                  </w:pPr>
                  <w:r>
                    <w:rPr>
                      <w:rFonts w:hint="eastAsia"/>
                      <w:bCs/>
                      <w:color w:val="auto"/>
                      <w:szCs w:val="21"/>
                      <w:lang w:val="en-US" w:eastAsia="zh-CN"/>
                    </w:rPr>
                    <w:t>环卫部门统一清运</w:t>
                  </w:r>
                </w:p>
              </w:tc>
            </w:tr>
            <w:tr w14:paraId="3C4B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 w:type="pct"/>
                  <w:vAlign w:val="center"/>
                </w:tcPr>
                <w:p w14:paraId="6EE77430">
                  <w:pPr>
                    <w:spacing w:line="240" w:lineRule="exact"/>
                    <w:jc w:val="center"/>
                    <w:rPr>
                      <w:bCs/>
                      <w:color w:val="auto"/>
                      <w:szCs w:val="21"/>
                    </w:rPr>
                  </w:pPr>
                  <w:r>
                    <w:rPr>
                      <w:rFonts w:hint="eastAsia"/>
                      <w:bCs/>
                      <w:color w:val="auto"/>
                      <w:szCs w:val="21"/>
                    </w:rPr>
                    <w:t>废水</w:t>
                  </w:r>
                </w:p>
              </w:tc>
              <w:tc>
                <w:tcPr>
                  <w:tcW w:w="691" w:type="pct"/>
                  <w:vAlign w:val="center"/>
                </w:tcPr>
                <w:p w14:paraId="7BC37545">
                  <w:pPr>
                    <w:spacing w:line="240" w:lineRule="exact"/>
                    <w:jc w:val="center"/>
                    <w:rPr>
                      <w:color w:val="auto"/>
                      <w:szCs w:val="21"/>
                    </w:rPr>
                  </w:pPr>
                  <w:r>
                    <w:rPr>
                      <w:rFonts w:hint="eastAsia"/>
                      <w:bCs/>
                      <w:color w:val="auto"/>
                      <w:szCs w:val="21"/>
                    </w:rPr>
                    <w:t>W1</w:t>
                  </w:r>
                </w:p>
              </w:tc>
              <w:tc>
                <w:tcPr>
                  <w:tcW w:w="567" w:type="pct"/>
                  <w:vAlign w:val="center"/>
                </w:tcPr>
                <w:p w14:paraId="679D2DF5">
                  <w:pPr>
                    <w:spacing w:line="240" w:lineRule="exact"/>
                    <w:jc w:val="center"/>
                    <w:rPr>
                      <w:color w:val="auto"/>
                      <w:szCs w:val="21"/>
                    </w:rPr>
                  </w:pPr>
                  <w:r>
                    <w:rPr>
                      <w:rFonts w:hint="eastAsia"/>
                      <w:bCs/>
                      <w:color w:val="auto"/>
                      <w:szCs w:val="21"/>
                    </w:rPr>
                    <w:t>员工生活</w:t>
                  </w:r>
                </w:p>
              </w:tc>
              <w:tc>
                <w:tcPr>
                  <w:tcW w:w="1060" w:type="pct"/>
                  <w:vAlign w:val="center"/>
                </w:tcPr>
                <w:p w14:paraId="5D1BA195">
                  <w:pPr>
                    <w:spacing w:line="240" w:lineRule="exact"/>
                    <w:jc w:val="center"/>
                    <w:rPr>
                      <w:bCs/>
                      <w:color w:val="auto"/>
                      <w:szCs w:val="21"/>
                    </w:rPr>
                  </w:pPr>
                  <w:r>
                    <w:rPr>
                      <w:bCs/>
                      <w:color w:val="auto"/>
                      <w:szCs w:val="21"/>
                    </w:rPr>
                    <w:t>生活污水</w:t>
                  </w:r>
                </w:p>
              </w:tc>
              <w:tc>
                <w:tcPr>
                  <w:tcW w:w="2384" w:type="pct"/>
                  <w:vAlign w:val="center"/>
                </w:tcPr>
                <w:p w14:paraId="5D70EBEA">
                  <w:pPr>
                    <w:spacing w:line="240" w:lineRule="exact"/>
                    <w:ind w:left="-107" w:leftChars="-51" w:right="-155" w:rightChars="-74" w:firstLine="2" w:firstLineChars="0"/>
                    <w:jc w:val="center"/>
                    <w:rPr>
                      <w:bCs/>
                      <w:color w:val="auto"/>
                      <w:szCs w:val="21"/>
                    </w:rPr>
                  </w:pPr>
                  <w:r>
                    <w:rPr>
                      <w:rFonts w:hint="eastAsia"/>
                      <w:bCs/>
                      <w:color w:val="auto"/>
                      <w:szCs w:val="21"/>
                    </w:rPr>
                    <w:t>依托</w:t>
                  </w:r>
                  <w:r>
                    <w:rPr>
                      <w:rFonts w:hint="eastAsia"/>
                      <w:bCs/>
                      <w:color w:val="auto"/>
                      <w:szCs w:val="21"/>
                      <w:lang w:val="en-US" w:eastAsia="zh-CN"/>
                    </w:rPr>
                    <w:t>厂区</w:t>
                  </w:r>
                  <w:r>
                    <w:rPr>
                      <w:rFonts w:hint="eastAsia"/>
                      <w:bCs/>
                      <w:color w:val="auto"/>
                      <w:szCs w:val="21"/>
                    </w:rPr>
                    <w:t>化粪池</w:t>
                  </w:r>
                  <w:r>
                    <w:rPr>
                      <w:bCs/>
                      <w:color w:val="auto"/>
                      <w:szCs w:val="21"/>
                    </w:rPr>
                    <w:t>处理后排入</w:t>
                  </w:r>
                  <w:r>
                    <w:rPr>
                      <w:rFonts w:hint="eastAsia"/>
                      <w:bCs/>
                      <w:color w:val="auto"/>
                      <w:szCs w:val="21"/>
                    </w:rPr>
                    <w:t>蚌埠市第二污水处理厂，</w:t>
                  </w:r>
                  <w:r>
                    <w:rPr>
                      <w:bCs/>
                      <w:color w:val="auto"/>
                      <w:szCs w:val="21"/>
                    </w:rPr>
                    <w:t>处理后外排</w:t>
                  </w:r>
                </w:p>
              </w:tc>
            </w:tr>
          </w:tbl>
          <w:p w14:paraId="465A00B3">
            <w:pPr>
              <w:spacing w:line="500" w:lineRule="atLeast"/>
              <w:ind w:firstLine="480" w:firstLineChars="200"/>
              <w:rPr>
                <w:bCs/>
                <w:color w:val="auto"/>
                <w:sz w:val="24"/>
              </w:rPr>
            </w:pPr>
          </w:p>
        </w:tc>
      </w:tr>
      <w:tr w14:paraId="04492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90" w:hRule="atLeast"/>
          <w:jc w:val="center"/>
        </w:trPr>
        <w:tc>
          <w:tcPr>
            <w:tcW w:w="282" w:type="pct"/>
            <w:vAlign w:val="center"/>
          </w:tcPr>
          <w:p w14:paraId="5A3D85EE">
            <w:pPr>
              <w:widowControl/>
              <w:adjustRightInd w:val="0"/>
              <w:snapToGrid w:val="0"/>
              <w:jc w:val="center"/>
              <w:rPr>
                <w:rFonts w:ascii="宋体" w:hAnsi="宋体" w:cs="宋体"/>
                <w:color w:val="auto"/>
                <w:kern w:val="0"/>
                <w:sz w:val="24"/>
              </w:rPr>
            </w:pPr>
            <w:r>
              <w:rPr>
                <w:rFonts w:hint="eastAsia" w:ascii="宋体" w:hAnsi="宋体" w:cs="宋体"/>
                <w:bCs/>
                <w:color w:val="auto"/>
                <w:sz w:val="24"/>
              </w:rPr>
              <w:t>与项目有关的原有环境污染问题</w:t>
            </w:r>
          </w:p>
        </w:tc>
        <w:tc>
          <w:tcPr>
            <w:tcW w:w="4717" w:type="pct"/>
            <w:vAlign w:val="center"/>
          </w:tcPr>
          <w:p w14:paraId="25EAEEAA">
            <w:pPr>
              <w:spacing w:line="500" w:lineRule="exact"/>
              <w:ind w:firstLine="480" w:firstLineChars="200"/>
              <w:rPr>
                <w:color w:val="auto"/>
                <w:sz w:val="24"/>
              </w:rPr>
            </w:pPr>
            <w:r>
              <w:rPr>
                <w:rFonts w:hint="eastAsia"/>
                <w:color w:val="auto"/>
                <w:sz w:val="24"/>
              </w:rPr>
              <w:t>本项目为新建项目，项目地</w:t>
            </w:r>
            <w:r>
              <w:rPr>
                <w:color w:val="auto"/>
                <w:sz w:val="24"/>
              </w:rPr>
              <w:t>位于在</w:t>
            </w:r>
            <w:r>
              <w:rPr>
                <w:rFonts w:hint="eastAsia"/>
                <w:snapToGrid w:val="0"/>
                <w:color w:val="auto"/>
                <w:kern w:val="0"/>
                <w:sz w:val="24"/>
              </w:rPr>
              <w:t>安徽省蚌埠市龙子湖区高铁工贸园胜利路9号</w:t>
            </w:r>
            <w:r>
              <w:rPr>
                <w:rFonts w:hint="eastAsia"/>
                <w:snapToGrid w:val="0"/>
                <w:color w:val="auto"/>
                <w:kern w:val="0"/>
                <w:sz w:val="24"/>
                <w:lang w:eastAsia="zh-CN"/>
              </w:rPr>
              <w:t>（安徽瑞龙玻璃机械股份有限公司）厂房</w:t>
            </w:r>
            <w:r>
              <w:rPr>
                <w:rFonts w:hint="eastAsia"/>
                <w:color w:val="auto"/>
                <w:sz w:val="24"/>
              </w:rPr>
              <w:t>租赁</w:t>
            </w:r>
            <w:r>
              <w:rPr>
                <w:rFonts w:hint="eastAsia"/>
                <w:snapToGrid w:val="0"/>
                <w:color w:val="auto"/>
                <w:kern w:val="0"/>
                <w:sz w:val="24"/>
                <w:lang w:eastAsia="zh-CN"/>
              </w:rPr>
              <w:t>安徽瑞龙玻璃机械股份有限公司</w:t>
            </w:r>
            <w:r>
              <w:rPr>
                <w:color w:val="auto"/>
                <w:sz w:val="24"/>
              </w:rPr>
              <w:t>已建成的标准化厂房。</w:t>
            </w:r>
            <w:r>
              <w:rPr>
                <w:rFonts w:hint="eastAsia"/>
                <w:color w:val="auto"/>
                <w:sz w:val="24"/>
              </w:rPr>
              <w:t>厂房目前为空置状态，并未运营生产，因此无与本项目有关的原有污染情况及主要环境问题。</w:t>
            </w:r>
          </w:p>
        </w:tc>
      </w:tr>
    </w:tbl>
    <w:p w14:paraId="2CA8FF2F">
      <w:pPr>
        <w:widowControl/>
        <w:ind w:left="-708" w:leftChars="-338" w:hanging="2"/>
        <w:jc w:val="center"/>
        <w:outlineLvl w:val="0"/>
        <w:rPr>
          <w:rFonts w:hint="eastAsia" w:ascii="黑体" w:hAnsi="黑体" w:eastAsia="黑体"/>
          <w:snapToGrid w:val="0"/>
          <w:color w:val="auto"/>
          <w:kern w:val="0"/>
          <w:sz w:val="30"/>
          <w:szCs w:val="30"/>
        </w:rPr>
      </w:pPr>
    </w:p>
    <w:p w14:paraId="3E1044B9">
      <w:pPr>
        <w:widowControl/>
        <w:ind w:left="-708" w:leftChars="-338" w:hanging="2"/>
        <w:jc w:val="center"/>
        <w:outlineLvl w:val="0"/>
        <w:rPr>
          <w:rFonts w:hint="eastAsia" w:ascii="黑体" w:hAnsi="黑体" w:eastAsia="黑体"/>
          <w:snapToGrid w:val="0"/>
          <w:color w:val="auto"/>
          <w:kern w:val="0"/>
          <w:sz w:val="30"/>
          <w:szCs w:val="30"/>
        </w:rPr>
      </w:pPr>
    </w:p>
    <w:p w14:paraId="3205EEA0">
      <w:pPr>
        <w:widowControl/>
        <w:ind w:left="-708" w:leftChars="-338" w:hanging="2"/>
        <w:jc w:val="center"/>
        <w:outlineLvl w:val="0"/>
        <w:rPr>
          <w:rFonts w:hint="eastAsia" w:ascii="黑体" w:hAnsi="黑体" w:eastAsia="黑体"/>
          <w:snapToGrid w:val="0"/>
          <w:color w:val="auto"/>
          <w:kern w:val="0"/>
          <w:sz w:val="30"/>
          <w:szCs w:val="30"/>
        </w:rPr>
      </w:pPr>
    </w:p>
    <w:p w14:paraId="07936764">
      <w:pPr>
        <w:widowControl/>
        <w:ind w:left="-708" w:leftChars="-338" w:hanging="2"/>
        <w:jc w:val="center"/>
        <w:outlineLvl w:val="0"/>
        <w:rPr>
          <w:rFonts w:hint="eastAsia" w:ascii="黑体" w:hAnsi="黑体" w:eastAsia="黑体"/>
          <w:snapToGrid w:val="0"/>
          <w:color w:val="auto"/>
          <w:kern w:val="0"/>
          <w:sz w:val="30"/>
          <w:szCs w:val="30"/>
        </w:rPr>
      </w:pPr>
    </w:p>
    <w:p w14:paraId="0062A791">
      <w:pPr>
        <w:widowControl/>
        <w:ind w:left="-708" w:leftChars="-338" w:hanging="2"/>
        <w:jc w:val="center"/>
        <w:outlineLvl w:val="0"/>
        <w:rPr>
          <w:rFonts w:hint="eastAsia" w:ascii="黑体" w:hAnsi="黑体" w:eastAsia="黑体"/>
          <w:snapToGrid w:val="0"/>
          <w:color w:val="auto"/>
          <w:kern w:val="0"/>
          <w:sz w:val="30"/>
          <w:szCs w:val="30"/>
        </w:rPr>
      </w:pPr>
    </w:p>
    <w:p w14:paraId="1FCC1A43">
      <w:pPr>
        <w:widowControl/>
        <w:ind w:left="-708" w:leftChars="-338" w:hanging="2"/>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三、区域环境质量现状、环境保护目标及评价标准</w:t>
      </w:r>
    </w:p>
    <w:tbl>
      <w:tblPr>
        <w:tblStyle w:val="26"/>
        <w:tblW w:w="83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8083"/>
      </w:tblGrid>
      <w:tr w14:paraId="3DC9A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Align w:val="center"/>
          </w:tcPr>
          <w:p w14:paraId="7B88ABBD">
            <w:pPr>
              <w:adjustRightInd w:val="0"/>
              <w:snapToGrid w:val="0"/>
              <w:jc w:val="center"/>
              <w:rPr>
                <w:rFonts w:ascii="宋体" w:hAnsi="宋体" w:cs="宋体"/>
                <w:color w:val="auto"/>
                <w:kern w:val="0"/>
                <w:szCs w:val="21"/>
              </w:rPr>
            </w:pPr>
            <w:r>
              <w:rPr>
                <w:rFonts w:hint="eastAsia" w:ascii="宋体" w:hAnsi="宋体" w:cs="宋体"/>
                <w:color w:val="auto"/>
                <w:kern w:val="0"/>
                <w:szCs w:val="21"/>
              </w:rPr>
              <w:t>区域</w:t>
            </w:r>
          </w:p>
          <w:p w14:paraId="0153CB56">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w:t>
            </w:r>
          </w:p>
          <w:p w14:paraId="7EA01444">
            <w:pPr>
              <w:adjustRightInd w:val="0"/>
              <w:snapToGrid w:val="0"/>
              <w:jc w:val="center"/>
              <w:rPr>
                <w:rFonts w:ascii="宋体" w:hAnsi="宋体" w:cs="宋体"/>
                <w:color w:val="auto"/>
                <w:kern w:val="0"/>
                <w:szCs w:val="21"/>
              </w:rPr>
            </w:pPr>
            <w:r>
              <w:rPr>
                <w:rFonts w:hint="eastAsia" w:ascii="宋体" w:hAnsi="宋体" w:cs="宋体"/>
                <w:color w:val="auto"/>
                <w:kern w:val="0"/>
                <w:szCs w:val="21"/>
              </w:rPr>
              <w:t>质量</w:t>
            </w:r>
          </w:p>
          <w:p w14:paraId="49C7F39C">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7882" w:type="dxa"/>
            <w:vAlign w:val="center"/>
          </w:tcPr>
          <w:p w14:paraId="2CA6893C">
            <w:pPr>
              <w:spacing w:line="520" w:lineRule="exact"/>
              <w:rPr>
                <w:b/>
                <w:bCs/>
                <w:color w:val="auto"/>
                <w:sz w:val="24"/>
              </w:rPr>
            </w:pPr>
            <w:r>
              <w:rPr>
                <w:b/>
                <w:bCs/>
                <w:color w:val="auto"/>
                <w:sz w:val="24"/>
              </w:rPr>
              <w:t>1</w:t>
            </w:r>
            <w:r>
              <w:rPr>
                <w:rFonts w:hint="eastAsia"/>
                <w:b/>
                <w:bCs/>
                <w:color w:val="auto"/>
                <w:sz w:val="24"/>
              </w:rPr>
              <w:t>、环境空气</w:t>
            </w:r>
          </w:p>
          <w:p w14:paraId="6252BCCC">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）区域环境质量达标情况</w:t>
            </w:r>
          </w:p>
          <w:p w14:paraId="14BC5CFA">
            <w:pPr>
              <w:pStyle w:val="83"/>
              <w:adjustRightInd w:val="0"/>
              <w:snapToGrid w:val="0"/>
              <w:spacing w:line="520" w:lineRule="exact"/>
              <w:ind w:firstLine="480"/>
              <w:rPr>
                <w:rFonts w:hint="eastAsia" w:ascii="宋体" w:hAnsi="宋体" w:eastAsia="宋体" w:cs="宋体"/>
                <w:color w:val="auto"/>
                <w:kern w:val="2"/>
                <w:sz w:val="24"/>
              </w:rPr>
            </w:pPr>
            <w:r>
              <w:rPr>
                <w:rFonts w:hint="eastAsia" w:ascii="宋体" w:hAnsi="宋体" w:eastAsia="宋体" w:cs="宋体"/>
                <w:color w:val="auto"/>
                <w:kern w:val="2"/>
                <w:sz w:val="24"/>
              </w:rPr>
              <w:t>根据中华人民共和国生态环境保护部网站-环境空气质量模型技术支持服务系统公布的蚌埠市2021年环境空气质量状况，对区域达标情况进行判定，具体统计结果见下表。</w:t>
            </w:r>
          </w:p>
          <w:p w14:paraId="38B74A1C">
            <w:pPr>
              <w:keepNext w:val="0"/>
              <w:keepLines w:val="0"/>
              <w:widowControl/>
              <w:suppressLineNumbers w:val="0"/>
              <w:jc w:val="center"/>
              <w:rPr>
                <w:rFonts w:hint="default" w:ascii="Times New Roman" w:hAnsi="Times New Roman" w:eastAsia="黑体" w:cs="Times New Roman"/>
                <w:b/>
                <w:color w:val="auto"/>
                <w:sz w:val="21"/>
                <w:szCs w:val="21"/>
              </w:rPr>
            </w:pPr>
            <w:r>
              <w:rPr>
                <w:rFonts w:hint="default" w:ascii="Times New Roman" w:hAnsi="Times New Roman" w:eastAsia="黑体" w:cs="Times New Roman"/>
                <w:b/>
                <w:color w:val="auto"/>
                <w:sz w:val="21"/>
                <w:szCs w:val="21"/>
              </w:rPr>
              <w:t>表3-1  20</w:t>
            </w:r>
            <w:r>
              <w:rPr>
                <w:rFonts w:hint="default" w:ascii="Times New Roman" w:hAnsi="Times New Roman" w:eastAsia="黑体" w:cs="Times New Roman"/>
                <w:b/>
                <w:color w:val="auto"/>
                <w:sz w:val="21"/>
                <w:szCs w:val="21"/>
                <w:lang w:val="en-US" w:eastAsia="zh-CN"/>
              </w:rPr>
              <w:t>21</w:t>
            </w:r>
            <w:r>
              <w:rPr>
                <w:rFonts w:hint="default" w:ascii="Times New Roman" w:hAnsi="Times New Roman" w:eastAsia="黑体" w:cs="Times New Roman"/>
                <w:b/>
                <w:color w:val="auto"/>
                <w:sz w:val="21"/>
                <w:szCs w:val="21"/>
              </w:rPr>
              <w:t>年度蚌埠市</w:t>
            </w:r>
            <w:r>
              <w:rPr>
                <w:rFonts w:hint="default" w:ascii="Times New Roman" w:hAnsi="Times New Roman" w:eastAsia="黑体" w:cs="Times New Roman"/>
                <w:b/>
                <w:color w:val="auto"/>
                <w:sz w:val="21"/>
                <w:szCs w:val="21"/>
                <w:lang w:val="en-US" w:eastAsia="zh-CN"/>
              </w:rPr>
              <w:t>区域空气质量现状评价表</w:t>
            </w:r>
          </w:p>
          <w:tbl>
            <w:tblPr>
              <w:tblStyle w:val="26"/>
              <w:tblW w:w="839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445"/>
              <w:gridCol w:w="1067"/>
              <w:gridCol w:w="1067"/>
              <w:gridCol w:w="1056"/>
              <w:gridCol w:w="1227"/>
            </w:tblGrid>
            <w:tr w14:paraId="0E4E6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6" w:space="0"/>
                    <w:bottom w:val="single" w:color="auto" w:sz="4" w:space="0"/>
                    <w:right w:val="single" w:color="auto" w:sz="4" w:space="0"/>
                    <w:tl2br w:val="nil"/>
                    <w:tr2bl w:val="nil"/>
                  </w:tcBorders>
                  <w:noWrap/>
                  <w:vAlign w:val="center"/>
                </w:tcPr>
                <w:p w14:paraId="54A3E021">
                  <w:pPr>
                    <w:jc w:val="center"/>
                    <w:rPr>
                      <w:szCs w:val="21"/>
                    </w:rPr>
                  </w:pPr>
                  <w:r>
                    <w:rPr>
                      <w:szCs w:val="21"/>
                    </w:rPr>
                    <w:t>污染物</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4B2A1071">
                  <w:pPr>
                    <w:jc w:val="center"/>
                    <w:rPr>
                      <w:szCs w:val="21"/>
                    </w:rPr>
                  </w:pPr>
                  <w:r>
                    <w:rPr>
                      <w:szCs w:val="21"/>
                    </w:rPr>
                    <w:t>年评价指标</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2CD21072">
                  <w:pPr>
                    <w:jc w:val="center"/>
                    <w:rPr>
                      <w:szCs w:val="21"/>
                    </w:rPr>
                  </w:pPr>
                  <w:r>
                    <w:rPr>
                      <w:szCs w:val="21"/>
                    </w:rPr>
                    <w:t>标准值</w:t>
                  </w:r>
                </w:p>
                <w:p w14:paraId="0A530E1F">
                  <w:pPr>
                    <w:jc w:val="center"/>
                    <w:rPr>
                      <w:szCs w:val="21"/>
                    </w:rPr>
                  </w:pPr>
                  <w:r>
                    <w:rPr>
                      <w:szCs w:val="21"/>
                    </w:rPr>
                    <w:t>（μg/m</w:t>
                  </w:r>
                  <w:r>
                    <w:rPr>
                      <w:szCs w:val="21"/>
                      <w:vertAlign w:val="superscript"/>
                    </w:rPr>
                    <w:t>3</w:t>
                  </w:r>
                  <w:r>
                    <w:rPr>
                      <w:szCs w:val="21"/>
                    </w:rPr>
                    <w:t>）</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15908DCF">
                  <w:pPr>
                    <w:jc w:val="center"/>
                    <w:rPr>
                      <w:szCs w:val="21"/>
                    </w:rPr>
                  </w:pPr>
                  <w:r>
                    <w:rPr>
                      <w:szCs w:val="21"/>
                    </w:rPr>
                    <w:t>现状浓度</w:t>
                  </w:r>
                </w:p>
                <w:p w14:paraId="6E2CA39C">
                  <w:pPr>
                    <w:jc w:val="center"/>
                    <w:rPr>
                      <w:szCs w:val="21"/>
                    </w:rPr>
                  </w:pPr>
                  <w:r>
                    <w:rPr>
                      <w:szCs w:val="21"/>
                    </w:rPr>
                    <w:t>（μg/m</w:t>
                  </w:r>
                  <w:r>
                    <w:rPr>
                      <w:szCs w:val="21"/>
                      <w:vertAlign w:val="superscript"/>
                    </w:rPr>
                    <w:t>3</w:t>
                  </w:r>
                  <w:r>
                    <w:rPr>
                      <w:szCs w:val="21"/>
                    </w:rPr>
                    <w:t>）</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40793B70">
                  <w:pPr>
                    <w:jc w:val="center"/>
                    <w:rPr>
                      <w:szCs w:val="21"/>
                    </w:rPr>
                  </w:pPr>
                  <w:r>
                    <w:rPr>
                      <w:szCs w:val="21"/>
                    </w:rPr>
                    <w:t>占标率</w:t>
                  </w:r>
                </w:p>
                <w:p w14:paraId="7D1EAB78">
                  <w:pPr>
                    <w:jc w:val="center"/>
                    <w:rPr>
                      <w:szCs w:val="21"/>
                    </w:rPr>
                  </w:pPr>
                  <w:r>
                    <w:rPr>
                      <w:szCs w:val="21"/>
                    </w:rPr>
                    <w:t>%</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0996FB89">
                  <w:pPr>
                    <w:jc w:val="center"/>
                    <w:rPr>
                      <w:szCs w:val="21"/>
                    </w:rPr>
                  </w:pPr>
                  <w:r>
                    <w:rPr>
                      <w:szCs w:val="21"/>
                    </w:rPr>
                    <w:t>达标情况</w:t>
                  </w:r>
                </w:p>
              </w:tc>
            </w:tr>
            <w:tr w14:paraId="0E863F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1A2F690D">
                  <w:pPr>
                    <w:jc w:val="center"/>
                    <w:rPr>
                      <w:szCs w:val="21"/>
                    </w:rPr>
                  </w:pPr>
                  <w:r>
                    <w:rPr>
                      <w:szCs w:val="21"/>
                    </w:rPr>
                    <w:t>SO</w:t>
                  </w:r>
                  <w:r>
                    <w:rPr>
                      <w:szCs w:val="21"/>
                      <w:vertAlign w:val="subscript"/>
                    </w:rPr>
                    <w:t>2</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06A0B8FE">
                  <w:pPr>
                    <w:jc w:val="center"/>
                    <w:rPr>
                      <w:szCs w:val="21"/>
                    </w:rPr>
                  </w:pPr>
                  <w:r>
                    <w:rPr>
                      <w:szCs w:val="21"/>
                    </w:rPr>
                    <w:t>年均值</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1ADCE16E">
                  <w:pPr>
                    <w:jc w:val="center"/>
                    <w:rPr>
                      <w:szCs w:val="21"/>
                    </w:rPr>
                  </w:pPr>
                  <w:r>
                    <w:rPr>
                      <w:szCs w:val="21"/>
                    </w:rPr>
                    <w:t>60</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35A66A17">
                  <w:pPr>
                    <w:jc w:val="center"/>
                    <w:rPr>
                      <w:szCs w:val="21"/>
                    </w:rPr>
                  </w:pPr>
                  <w:r>
                    <w:rPr>
                      <w:szCs w:val="21"/>
                    </w:rPr>
                    <w:t>1</w:t>
                  </w:r>
                  <w:r>
                    <w:rPr>
                      <w:rFonts w:hint="eastAsia"/>
                      <w:szCs w:val="21"/>
                      <w:lang w:val="en-US" w:eastAsia="zh-CN"/>
                    </w:rPr>
                    <w:t>1</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4C787128">
                  <w:pPr>
                    <w:jc w:val="center"/>
                    <w:rPr>
                      <w:rFonts w:hint="default" w:eastAsia="宋体"/>
                      <w:szCs w:val="21"/>
                      <w:lang w:val="en-US" w:eastAsia="zh-CN"/>
                    </w:rPr>
                  </w:pPr>
                  <w:r>
                    <w:rPr>
                      <w:rFonts w:hint="eastAsia"/>
                      <w:color w:val="000000"/>
                      <w:sz w:val="22"/>
                      <w:szCs w:val="22"/>
                      <w:lang w:val="en-US" w:eastAsia="zh-CN"/>
                    </w:rPr>
                    <w:t>18.33</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126CE72A">
                  <w:pPr>
                    <w:jc w:val="center"/>
                    <w:rPr>
                      <w:szCs w:val="21"/>
                    </w:rPr>
                  </w:pPr>
                  <w:r>
                    <w:rPr>
                      <w:szCs w:val="21"/>
                    </w:rPr>
                    <w:t>达标</w:t>
                  </w:r>
                </w:p>
              </w:tc>
            </w:tr>
            <w:tr w14:paraId="3A04FE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21EFE9D3">
                  <w:pPr>
                    <w:jc w:val="center"/>
                    <w:rPr>
                      <w:szCs w:val="21"/>
                    </w:rPr>
                  </w:pPr>
                  <w:r>
                    <w:rPr>
                      <w:szCs w:val="21"/>
                    </w:rPr>
                    <w:t>NO</w:t>
                  </w:r>
                  <w:r>
                    <w:rPr>
                      <w:szCs w:val="21"/>
                      <w:vertAlign w:val="subscript"/>
                    </w:rPr>
                    <w:t>2</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2B0A0CF9">
                  <w:pPr>
                    <w:jc w:val="center"/>
                    <w:rPr>
                      <w:szCs w:val="21"/>
                    </w:rPr>
                  </w:pPr>
                  <w:r>
                    <w:rPr>
                      <w:szCs w:val="21"/>
                    </w:rPr>
                    <w:t>年均值</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565F0C66">
                  <w:pPr>
                    <w:jc w:val="center"/>
                    <w:rPr>
                      <w:szCs w:val="21"/>
                    </w:rPr>
                  </w:pPr>
                  <w:r>
                    <w:rPr>
                      <w:szCs w:val="21"/>
                    </w:rPr>
                    <w:t>40</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67EB9894">
                  <w:pPr>
                    <w:jc w:val="center"/>
                    <w:rPr>
                      <w:rFonts w:hint="default" w:eastAsia="宋体"/>
                      <w:szCs w:val="21"/>
                      <w:lang w:val="en-US" w:eastAsia="zh-CN"/>
                    </w:rPr>
                  </w:pPr>
                  <w:r>
                    <w:rPr>
                      <w:rFonts w:hint="eastAsia"/>
                      <w:szCs w:val="21"/>
                      <w:lang w:val="en-US" w:eastAsia="zh-CN"/>
                    </w:rPr>
                    <w:t>27</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33943CA0">
                  <w:pPr>
                    <w:jc w:val="center"/>
                    <w:rPr>
                      <w:szCs w:val="21"/>
                    </w:rPr>
                  </w:pPr>
                  <w:r>
                    <w:rPr>
                      <w:rFonts w:hint="eastAsia"/>
                      <w:color w:val="000000"/>
                      <w:sz w:val="22"/>
                      <w:szCs w:val="22"/>
                      <w:lang w:val="en-US" w:eastAsia="zh-CN"/>
                    </w:rPr>
                    <w:t>67</w:t>
                  </w:r>
                  <w:r>
                    <w:rPr>
                      <w:color w:val="000000"/>
                      <w:sz w:val="22"/>
                      <w:szCs w:val="22"/>
                    </w:rPr>
                    <w:t>.50</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50D9DE28">
                  <w:pPr>
                    <w:jc w:val="center"/>
                    <w:rPr>
                      <w:szCs w:val="21"/>
                    </w:rPr>
                  </w:pPr>
                  <w:r>
                    <w:rPr>
                      <w:szCs w:val="21"/>
                    </w:rPr>
                    <w:t>达标</w:t>
                  </w:r>
                </w:p>
              </w:tc>
            </w:tr>
            <w:tr w14:paraId="76CD9F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71B3D331">
                  <w:pPr>
                    <w:jc w:val="center"/>
                    <w:rPr>
                      <w:szCs w:val="21"/>
                    </w:rPr>
                  </w:pPr>
                  <w:r>
                    <w:rPr>
                      <w:szCs w:val="21"/>
                    </w:rPr>
                    <w:t>PM</w:t>
                  </w:r>
                  <w:r>
                    <w:rPr>
                      <w:szCs w:val="21"/>
                      <w:vertAlign w:val="subscript"/>
                    </w:rPr>
                    <w:t>10</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6335725D">
                  <w:pPr>
                    <w:jc w:val="center"/>
                    <w:rPr>
                      <w:szCs w:val="21"/>
                    </w:rPr>
                  </w:pPr>
                  <w:r>
                    <w:rPr>
                      <w:szCs w:val="21"/>
                    </w:rPr>
                    <w:t>年均值</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71247675">
                  <w:pPr>
                    <w:jc w:val="center"/>
                    <w:rPr>
                      <w:szCs w:val="21"/>
                    </w:rPr>
                  </w:pPr>
                  <w:r>
                    <w:rPr>
                      <w:szCs w:val="21"/>
                    </w:rPr>
                    <w:t>70</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1FDB1F5D">
                  <w:pPr>
                    <w:jc w:val="center"/>
                    <w:rPr>
                      <w:rFonts w:hint="default" w:eastAsia="宋体"/>
                      <w:szCs w:val="21"/>
                      <w:lang w:val="en-US" w:eastAsia="zh-CN"/>
                    </w:rPr>
                  </w:pPr>
                  <w:r>
                    <w:rPr>
                      <w:rFonts w:hint="eastAsia"/>
                      <w:szCs w:val="21"/>
                      <w:lang w:val="en-US" w:eastAsia="zh-CN"/>
                    </w:rPr>
                    <w:t>68</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7DCFE5F7">
                  <w:pPr>
                    <w:jc w:val="center"/>
                    <w:rPr>
                      <w:rFonts w:hint="default" w:eastAsia="宋体"/>
                      <w:szCs w:val="21"/>
                      <w:lang w:val="en-US" w:eastAsia="zh-CN"/>
                    </w:rPr>
                  </w:pPr>
                  <w:r>
                    <w:rPr>
                      <w:rFonts w:hint="eastAsia"/>
                      <w:color w:val="000000"/>
                      <w:sz w:val="22"/>
                      <w:szCs w:val="22"/>
                      <w:lang w:val="en-US" w:eastAsia="zh-CN"/>
                    </w:rPr>
                    <w:t>9.14</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2B06497A">
                  <w:pPr>
                    <w:jc w:val="center"/>
                    <w:rPr>
                      <w:szCs w:val="21"/>
                    </w:rPr>
                  </w:pPr>
                  <w:r>
                    <w:rPr>
                      <w:szCs w:val="21"/>
                    </w:rPr>
                    <w:t>达标</w:t>
                  </w:r>
                </w:p>
              </w:tc>
            </w:tr>
            <w:tr w14:paraId="325F72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519AAA1E">
                  <w:pPr>
                    <w:jc w:val="center"/>
                    <w:rPr>
                      <w:szCs w:val="21"/>
                    </w:rPr>
                  </w:pPr>
                  <w:r>
                    <w:rPr>
                      <w:szCs w:val="21"/>
                    </w:rPr>
                    <w:t>PM</w:t>
                  </w:r>
                  <w:r>
                    <w:rPr>
                      <w:szCs w:val="21"/>
                      <w:vertAlign w:val="subscript"/>
                    </w:rPr>
                    <w:t>2.5</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6920293F">
                  <w:pPr>
                    <w:jc w:val="center"/>
                    <w:rPr>
                      <w:szCs w:val="21"/>
                    </w:rPr>
                  </w:pPr>
                  <w:r>
                    <w:rPr>
                      <w:szCs w:val="21"/>
                    </w:rPr>
                    <w:t>年均值</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5C4C19B9">
                  <w:pPr>
                    <w:jc w:val="center"/>
                    <w:rPr>
                      <w:szCs w:val="21"/>
                    </w:rPr>
                  </w:pPr>
                  <w:r>
                    <w:rPr>
                      <w:szCs w:val="21"/>
                    </w:rPr>
                    <w:t>35</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2586B2CA">
                  <w:pPr>
                    <w:jc w:val="center"/>
                    <w:rPr>
                      <w:rFonts w:hint="default" w:eastAsia="宋体"/>
                      <w:szCs w:val="21"/>
                      <w:lang w:val="en-US" w:eastAsia="zh-CN"/>
                    </w:rPr>
                  </w:pPr>
                  <w:r>
                    <w:rPr>
                      <w:rFonts w:hint="eastAsia"/>
                      <w:szCs w:val="21"/>
                      <w:lang w:val="en-US" w:eastAsia="zh-CN"/>
                    </w:rPr>
                    <w:t>37</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477C8D93">
                  <w:pPr>
                    <w:jc w:val="center"/>
                    <w:rPr>
                      <w:rFonts w:hint="default" w:eastAsia="宋体"/>
                      <w:szCs w:val="21"/>
                      <w:lang w:val="en-US" w:eastAsia="zh-CN"/>
                    </w:rPr>
                  </w:pPr>
                  <w:r>
                    <w:rPr>
                      <w:color w:val="000000"/>
                      <w:sz w:val="22"/>
                      <w:szCs w:val="22"/>
                    </w:rPr>
                    <w:t>1</w:t>
                  </w:r>
                  <w:r>
                    <w:rPr>
                      <w:rFonts w:hint="eastAsia"/>
                      <w:color w:val="000000"/>
                      <w:sz w:val="22"/>
                      <w:szCs w:val="22"/>
                      <w:lang w:val="en-US" w:eastAsia="zh-CN"/>
                    </w:rPr>
                    <w:t>05.71</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0225D2D3">
                  <w:pPr>
                    <w:jc w:val="center"/>
                    <w:rPr>
                      <w:szCs w:val="21"/>
                    </w:rPr>
                  </w:pPr>
                  <w:r>
                    <w:rPr>
                      <w:szCs w:val="21"/>
                    </w:rPr>
                    <w:t>不达标</w:t>
                  </w:r>
                </w:p>
              </w:tc>
            </w:tr>
            <w:tr w14:paraId="1829ED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090860AB">
                  <w:pPr>
                    <w:jc w:val="center"/>
                    <w:rPr>
                      <w:szCs w:val="21"/>
                    </w:rPr>
                  </w:pPr>
                  <w:r>
                    <w:rPr>
                      <w:szCs w:val="21"/>
                    </w:rPr>
                    <w:t>CO</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2B9F0AE9">
                  <w:pPr>
                    <w:jc w:val="center"/>
                    <w:rPr>
                      <w:szCs w:val="21"/>
                    </w:rPr>
                  </w:pPr>
                  <w:r>
                    <w:rPr>
                      <w:szCs w:val="21"/>
                    </w:rPr>
                    <w:t>日平均第95百分位数</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0BD14EE9">
                  <w:pPr>
                    <w:jc w:val="center"/>
                    <w:rPr>
                      <w:szCs w:val="21"/>
                    </w:rPr>
                  </w:pPr>
                  <w:r>
                    <w:rPr>
                      <w:szCs w:val="21"/>
                    </w:rPr>
                    <w:t>4000</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209F37A3">
                  <w:pPr>
                    <w:jc w:val="center"/>
                    <w:rPr>
                      <w:rFonts w:hint="default" w:eastAsia="宋体"/>
                      <w:szCs w:val="21"/>
                      <w:lang w:val="en-US" w:eastAsia="zh-CN"/>
                    </w:rPr>
                  </w:pPr>
                  <w:r>
                    <w:rPr>
                      <w:rFonts w:hint="eastAsia"/>
                      <w:szCs w:val="21"/>
                      <w:lang w:val="en-US" w:eastAsia="zh-CN"/>
                    </w:rPr>
                    <w:t>800</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09A853C9">
                  <w:pPr>
                    <w:jc w:val="center"/>
                    <w:rPr>
                      <w:szCs w:val="21"/>
                    </w:rPr>
                  </w:pPr>
                  <w:r>
                    <w:rPr>
                      <w:color w:val="000000"/>
                      <w:sz w:val="22"/>
                      <w:szCs w:val="22"/>
                    </w:rPr>
                    <w:t>2</w:t>
                  </w:r>
                  <w:r>
                    <w:rPr>
                      <w:rFonts w:hint="eastAsia"/>
                      <w:color w:val="000000"/>
                      <w:sz w:val="22"/>
                      <w:szCs w:val="22"/>
                      <w:lang w:val="en-US" w:eastAsia="zh-CN"/>
                    </w:rPr>
                    <w:t>0</w:t>
                  </w:r>
                  <w:r>
                    <w:rPr>
                      <w:color w:val="000000"/>
                      <w:sz w:val="22"/>
                      <w:szCs w:val="22"/>
                    </w:rPr>
                    <w:t>.00</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77C7B2AB">
                  <w:pPr>
                    <w:jc w:val="center"/>
                    <w:rPr>
                      <w:szCs w:val="21"/>
                    </w:rPr>
                  </w:pPr>
                  <w:r>
                    <w:rPr>
                      <w:szCs w:val="21"/>
                    </w:rPr>
                    <w:t>达标</w:t>
                  </w:r>
                </w:p>
              </w:tc>
            </w:tr>
            <w:tr w14:paraId="77B4B6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l2br w:val="nil"/>
                    <w:tr2bl w:val="nil"/>
                  </w:tcBorders>
                  <w:noWrap/>
                  <w:vAlign w:val="center"/>
                </w:tcPr>
                <w:p w14:paraId="23635275">
                  <w:pPr>
                    <w:jc w:val="center"/>
                    <w:rPr>
                      <w:szCs w:val="21"/>
                    </w:rPr>
                  </w:pPr>
                  <w:r>
                    <w:rPr>
                      <w:szCs w:val="21"/>
                    </w:rPr>
                    <w:t>O</w:t>
                  </w:r>
                  <w:r>
                    <w:rPr>
                      <w:szCs w:val="21"/>
                      <w:vertAlign w:val="subscript"/>
                    </w:rPr>
                    <w:t>3</w:t>
                  </w:r>
                </w:p>
              </w:tc>
              <w:tc>
                <w:tcPr>
                  <w:tcW w:w="2647" w:type="dxa"/>
                  <w:tcBorders>
                    <w:top w:val="single" w:color="auto" w:sz="4" w:space="0"/>
                    <w:left w:val="single" w:color="auto" w:sz="4" w:space="0"/>
                    <w:bottom w:val="single" w:color="auto" w:sz="4" w:space="0"/>
                    <w:right w:val="single" w:color="auto" w:sz="4" w:space="0"/>
                    <w:tl2br w:val="nil"/>
                    <w:tr2bl w:val="nil"/>
                  </w:tcBorders>
                  <w:noWrap/>
                  <w:vAlign w:val="center"/>
                </w:tcPr>
                <w:p w14:paraId="370467D5">
                  <w:pPr>
                    <w:jc w:val="center"/>
                    <w:rPr>
                      <w:szCs w:val="21"/>
                    </w:rPr>
                  </w:pPr>
                  <w:r>
                    <w:rPr>
                      <w:szCs w:val="21"/>
                    </w:rPr>
                    <w:t>日最大8小时平均第90百分位数</w:t>
                  </w:r>
                </w:p>
              </w:tc>
              <w:tc>
                <w:tcPr>
                  <w:tcW w:w="1105" w:type="dxa"/>
                  <w:tcBorders>
                    <w:top w:val="single" w:color="auto" w:sz="4" w:space="0"/>
                    <w:left w:val="single" w:color="auto" w:sz="4" w:space="0"/>
                    <w:bottom w:val="single" w:color="auto" w:sz="4" w:space="0"/>
                    <w:right w:val="single" w:color="auto" w:sz="4" w:space="0"/>
                    <w:tl2br w:val="nil"/>
                    <w:tr2bl w:val="nil"/>
                  </w:tcBorders>
                  <w:noWrap/>
                  <w:vAlign w:val="center"/>
                </w:tcPr>
                <w:p w14:paraId="714A7F36">
                  <w:pPr>
                    <w:jc w:val="center"/>
                    <w:rPr>
                      <w:szCs w:val="21"/>
                    </w:rPr>
                  </w:pPr>
                  <w:r>
                    <w:rPr>
                      <w:szCs w:val="21"/>
                    </w:rPr>
                    <w:t>160</w:t>
                  </w:r>
                </w:p>
              </w:tc>
              <w:tc>
                <w:tcPr>
                  <w:tcW w:w="1112" w:type="dxa"/>
                  <w:tcBorders>
                    <w:top w:val="single" w:color="auto" w:sz="4" w:space="0"/>
                    <w:left w:val="single" w:color="auto" w:sz="4" w:space="0"/>
                    <w:bottom w:val="single" w:color="auto" w:sz="4" w:space="0"/>
                    <w:right w:val="single" w:color="auto" w:sz="4" w:space="0"/>
                    <w:tl2br w:val="nil"/>
                    <w:tr2bl w:val="nil"/>
                  </w:tcBorders>
                  <w:noWrap/>
                  <w:vAlign w:val="center"/>
                </w:tcPr>
                <w:p w14:paraId="5CFBA1BB">
                  <w:pPr>
                    <w:jc w:val="center"/>
                    <w:rPr>
                      <w:rFonts w:hint="default" w:eastAsia="宋体"/>
                      <w:szCs w:val="21"/>
                      <w:lang w:val="en-US" w:eastAsia="zh-CN"/>
                    </w:rPr>
                  </w:pPr>
                  <w:r>
                    <w:rPr>
                      <w:szCs w:val="21"/>
                    </w:rPr>
                    <w:t>1</w:t>
                  </w:r>
                  <w:r>
                    <w:rPr>
                      <w:rFonts w:hint="eastAsia"/>
                      <w:szCs w:val="21"/>
                      <w:lang w:val="en-US" w:eastAsia="zh-CN"/>
                    </w:rPr>
                    <w:t>55</w:t>
                  </w:r>
                </w:p>
              </w:tc>
              <w:tc>
                <w:tcPr>
                  <w:tcW w:w="1132" w:type="dxa"/>
                  <w:tcBorders>
                    <w:top w:val="single" w:color="auto" w:sz="4" w:space="0"/>
                    <w:left w:val="single" w:color="auto" w:sz="4" w:space="0"/>
                    <w:bottom w:val="single" w:color="auto" w:sz="4" w:space="0"/>
                    <w:right w:val="single" w:color="auto" w:sz="4" w:space="0"/>
                    <w:tl2br w:val="nil"/>
                    <w:tr2bl w:val="nil"/>
                  </w:tcBorders>
                  <w:noWrap/>
                  <w:vAlign w:val="center"/>
                </w:tcPr>
                <w:p w14:paraId="201E542E">
                  <w:pPr>
                    <w:jc w:val="center"/>
                    <w:rPr>
                      <w:rFonts w:hint="default" w:eastAsia="宋体"/>
                      <w:szCs w:val="21"/>
                      <w:lang w:val="en-US" w:eastAsia="zh-CN"/>
                    </w:rPr>
                  </w:pPr>
                  <w:r>
                    <w:rPr>
                      <w:rFonts w:hint="eastAsia"/>
                      <w:color w:val="000000"/>
                      <w:sz w:val="22"/>
                      <w:szCs w:val="22"/>
                      <w:lang w:val="en-US" w:eastAsia="zh-CN"/>
                    </w:rPr>
                    <w:t>96.88</w:t>
                  </w:r>
                </w:p>
              </w:tc>
              <w:tc>
                <w:tcPr>
                  <w:tcW w:w="1318" w:type="dxa"/>
                  <w:tcBorders>
                    <w:top w:val="single" w:color="auto" w:sz="4" w:space="0"/>
                    <w:left w:val="single" w:color="auto" w:sz="4" w:space="0"/>
                    <w:bottom w:val="single" w:color="auto" w:sz="4" w:space="0"/>
                    <w:right w:val="single" w:color="auto" w:sz="4" w:space="0"/>
                    <w:tl2br w:val="nil"/>
                    <w:tr2bl w:val="nil"/>
                  </w:tcBorders>
                  <w:noWrap/>
                  <w:vAlign w:val="center"/>
                </w:tcPr>
                <w:p w14:paraId="616DA12E">
                  <w:pPr>
                    <w:jc w:val="center"/>
                    <w:rPr>
                      <w:szCs w:val="21"/>
                    </w:rPr>
                  </w:pPr>
                  <w:r>
                    <w:rPr>
                      <w:szCs w:val="21"/>
                    </w:rPr>
                    <w:t>达标</w:t>
                  </w:r>
                </w:p>
              </w:tc>
            </w:tr>
          </w:tbl>
          <w:p w14:paraId="4F4584E1">
            <w:pPr>
              <w:pStyle w:val="83"/>
              <w:adjustRightInd w:val="0"/>
              <w:snapToGrid w:val="0"/>
              <w:spacing w:line="520" w:lineRule="exact"/>
              <w:ind w:firstLine="480"/>
            </w:pPr>
            <w:r>
              <w:rPr>
                <w:rFonts w:hint="eastAsia" w:ascii="Times New Roman" w:hAnsi="Times New Roman" w:cs="Times New Roman"/>
                <w:b/>
                <w:bCs/>
                <w:kern w:val="2"/>
                <w:sz w:val="24"/>
                <w:lang w:val="en-US" w:eastAsia="zh-CN"/>
              </w:rPr>
              <w:t>常规因子</w:t>
            </w:r>
            <w:r>
              <w:rPr>
                <w:rFonts w:hint="eastAsia" w:ascii="Times New Roman" w:hAnsi="Times New Roman" w:cs="Times New Roman"/>
                <w:kern w:val="2"/>
                <w:sz w:val="24"/>
                <w:lang w:val="en-US" w:eastAsia="zh-CN"/>
              </w:rPr>
              <w:t>：蚌埠市2021年SO</w:t>
            </w:r>
            <w:r>
              <w:rPr>
                <w:rFonts w:hint="eastAsia" w:ascii="Times New Roman" w:hAnsi="Times New Roman" w:cs="Times New Roman"/>
                <w:kern w:val="2"/>
                <w:sz w:val="24"/>
                <w:vertAlign w:val="subscript"/>
                <w:lang w:val="en-US" w:eastAsia="zh-CN"/>
              </w:rPr>
              <w:t>2</w:t>
            </w:r>
            <w:r>
              <w:rPr>
                <w:rFonts w:hint="eastAsia" w:ascii="Times New Roman" w:hAnsi="Times New Roman" w:cs="Times New Roman"/>
                <w:kern w:val="2"/>
                <w:sz w:val="24"/>
                <w:lang w:val="en-US" w:eastAsia="zh-CN"/>
              </w:rPr>
              <w:t>、NO</w:t>
            </w:r>
            <w:r>
              <w:rPr>
                <w:rFonts w:hint="eastAsia" w:ascii="Times New Roman" w:hAnsi="Times New Roman" w:cs="Times New Roman"/>
                <w:kern w:val="2"/>
                <w:sz w:val="24"/>
                <w:vertAlign w:val="subscript"/>
                <w:lang w:val="en-US" w:eastAsia="zh-CN"/>
              </w:rPr>
              <w:t>2</w:t>
            </w:r>
            <w:r>
              <w:rPr>
                <w:rFonts w:hint="eastAsia" w:ascii="Times New Roman" w:hAnsi="Times New Roman" w:cs="Times New Roman"/>
                <w:kern w:val="2"/>
                <w:sz w:val="24"/>
                <w:vertAlign w:val="baseline"/>
                <w:lang w:val="en-US" w:eastAsia="zh-CN"/>
              </w:rPr>
              <w:t>、</w:t>
            </w:r>
            <w:r>
              <w:rPr>
                <w:rFonts w:hint="eastAsia" w:ascii="Times New Roman" w:hAnsi="Times New Roman" w:cs="Times New Roman"/>
                <w:kern w:val="2"/>
                <w:sz w:val="24"/>
                <w:lang w:val="en-US" w:eastAsia="zh-CN"/>
              </w:rPr>
              <w:t>PM</w:t>
            </w:r>
            <w:r>
              <w:rPr>
                <w:rFonts w:hint="eastAsia" w:ascii="Times New Roman" w:hAnsi="Times New Roman" w:cs="Times New Roman"/>
                <w:kern w:val="2"/>
                <w:sz w:val="24"/>
                <w:vertAlign w:val="subscript"/>
                <w:lang w:val="en-US" w:eastAsia="zh-CN"/>
              </w:rPr>
              <w:t>10</w:t>
            </w:r>
            <w:r>
              <w:rPr>
                <w:rFonts w:hint="eastAsia" w:ascii="Times New Roman" w:hAnsi="Times New Roman" w:cs="Times New Roman"/>
                <w:kern w:val="2"/>
                <w:sz w:val="24"/>
                <w:vertAlign w:val="baseline"/>
                <w:lang w:val="en-US" w:eastAsia="zh-CN"/>
              </w:rPr>
              <w:t>、</w:t>
            </w:r>
            <w:r>
              <w:rPr>
                <w:rFonts w:hint="eastAsia" w:ascii="Times New Roman" w:hAnsi="Times New Roman" w:cs="Times New Roman"/>
                <w:kern w:val="2"/>
                <w:sz w:val="24"/>
                <w:lang w:val="en-US" w:eastAsia="zh-CN"/>
              </w:rPr>
              <w:t>PM</w:t>
            </w:r>
            <w:r>
              <w:rPr>
                <w:rFonts w:hint="eastAsia" w:ascii="Times New Roman" w:hAnsi="Times New Roman" w:cs="Times New Roman"/>
                <w:kern w:val="2"/>
                <w:sz w:val="24"/>
                <w:vertAlign w:val="subscript"/>
                <w:lang w:val="en-US" w:eastAsia="zh-CN"/>
              </w:rPr>
              <w:t>2.5</w:t>
            </w:r>
            <w:r>
              <w:rPr>
                <w:rFonts w:hint="eastAsia" w:ascii="Times New Roman" w:hAnsi="Times New Roman" w:cs="Times New Roman"/>
                <w:kern w:val="2"/>
                <w:sz w:val="24"/>
                <w:lang w:val="en-US" w:eastAsia="zh-CN"/>
              </w:rPr>
              <w:t>年均浓度分别为11ug/m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vertAlign w:val="baseline"/>
                <w:lang w:val="en-US" w:eastAsia="zh-CN"/>
              </w:rPr>
              <w:t>、</w:t>
            </w:r>
            <w:r>
              <w:rPr>
                <w:rFonts w:hint="eastAsia" w:ascii="Times New Roman" w:hAnsi="Times New Roman" w:cs="Times New Roman"/>
                <w:kern w:val="2"/>
                <w:sz w:val="24"/>
                <w:lang w:val="en-US" w:eastAsia="zh-CN"/>
              </w:rPr>
              <w:t>27ug/m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lang w:val="en-US" w:eastAsia="zh-CN"/>
              </w:rPr>
              <w:t>、68 ug/m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lang w:val="en-US" w:eastAsia="zh-CN"/>
              </w:rPr>
              <w:t>、37ug/m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lang w:val="en-US" w:eastAsia="zh-CN"/>
              </w:rPr>
              <w:t>;CO24小时平均第95百分位数为0.8mg/m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lang w:val="en-US" w:eastAsia="zh-CN"/>
              </w:rPr>
              <w:t>，O</w:t>
            </w:r>
            <w:r>
              <w:rPr>
                <w:rFonts w:hint="eastAsia" w:ascii="Times New Roman" w:hAnsi="Times New Roman" w:cs="Times New Roman"/>
                <w:kern w:val="2"/>
                <w:sz w:val="24"/>
                <w:vertAlign w:val="subscript"/>
                <w:lang w:val="en-US" w:eastAsia="zh-CN"/>
              </w:rPr>
              <w:t>3</w:t>
            </w:r>
            <w:r>
              <w:rPr>
                <w:rFonts w:hint="eastAsia" w:ascii="Times New Roman" w:hAnsi="Times New Roman" w:cs="Times New Roman"/>
                <w:kern w:val="2"/>
                <w:sz w:val="24"/>
                <w:lang w:val="en-US" w:eastAsia="zh-CN"/>
              </w:rPr>
              <w:t>日最大8小时平均第90百分位数为155ug/m</w:t>
            </w:r>
            <w:r>
              <w:rPr>
                <w:rFonts w:hint="eastAsia" w:ascii="Times New Roman" w:hAnsi="Times New Roman" w:cs="Times New Roman"/>
                <w:kern w:val="2"/>
                <w:sz w:val="24"/>
                <w:vertAlign w:val="superscript"/>
                <w:lang w:val="en-US" w:eastAsia="zh-CN"/>
              </w:rPr>
              <w:t>3</w:t>
            </w:r>
            <w:r>
              <w:rPr>
                <w:rFonts w:hint="eastAsia" w:ascii="Times New Roman" w:hAnsi="Times New Roman" w:cs="Times New Roman"/>
                <w:kern w:val="2"/>
                <w:sz w:val="24"/>
                <w:lang w:val="en-US" w:eastAsia="zh-CN"/>
              </w:rPr>
              <w:t>;超过《环境空气质量标准》(GB3095-2012)中二级标准限值结果的污染物为PM2.5 , 项目所在区域为不达标区。</w:t>
            </w:r>
          </w:p>
          <w:p w14:paraId="2FA30CD0">
            <w:pPr>
              <w:pStyle w:val="83"/>
              <w:numPr>
                <w:ilvl w:val="-1"/>
                <w:numId w:val="0"/>
              </w:numPr>
              <w:adjustRightInd w:val="0"/>
              <w:snapToGrid w:val="0"/>
              <w:spacing w:line="520" w:lineRule="exact"/>
              <w:ind w:firstLine="0" w:firstLineChars="0"/>
              <w:rPr>
                <w:rFonts w:hint="eastAsia"/>
                <w:sz w:val="24"/>
                <w:lang w:eastAsia="zh-CN"/>
              </w:rPr>
            </w:pPr>
            <w:r>
              <w:rPr>
                <w:rFonts w:hint="eastAsia"/>
                <w:sz w:val="24"/>
                <w:lang w:eastAsia="zh-CN"/>
              </w:rPr>
              <w:t>（</w:t>
            </w:r>
            <w:r>
              <w:rPr>
                <w:rFonts w:hint="eastAsia"/>
                <w:sz w:val="24"/>
                <w:lang w:val="en-US" w:eastAsia="zh-CN"/>
              </w:rPr>
              <w:t>2</w:t>
            </w:r>
            <w:r>
              <w:rPr>
                <w:rFonts w:hint="eastAsia"/>
                <w:sz w:val="24"/>
                <w:lang w:eastAsia="zh-CN"/>
              </w:rPr>
              <w:t>）特征污染物环境质量现状评价</w:t>
            </w:r>
          </w:p>
          <w:p w14:paraId="416CA6DF">
            <w:pPr>
              <w:widowControl/>
              <w:ind w:firstLine="480" w:firstLineChars="200"/>
              <w:jc w:val="left"/>
              <w:rPr>
                <w:rFonts w:hint="default"/>
                <w:sz w:val="24"/>
                <w:lang w:val="en-US" w:eastAsia="zh-CN"/>
              </w:rPr>
            </w:pPr>
            <w:r>
              <w:rPr>
                <w:rFonts w:hint="eastAsia"/>
                <w:sz w:val="24"/>
                <w:lang w:val="en-US" w:eastAsia="zh-CN"/>
              </w:rPr>
              <w:t>本次监测数据引用《</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黄山大道（老山路-凤阳界）工程</w:t>
            </w:r>
            <w:r>
              <w:rPr>
                <w:rFonts w:hint="eastAsia" w:ascii="宋体" w:hAnsi="宋体" w:cs="宋体"/>
                <w:bCs/>
                <w:color w:val="000000" w:themeColor="text1"/>
                <w:sz w:val="24"/>
                <w:highlight w:val="none"/>
                <w:lang w:val="en-US" w:eastAsia="zh-CN"/>
                <w14:textFill>
                  <w14:solidFill>
                    <w14:schemeClr w14:val="tx1"/>
                  </w14:solidFill>
                </w14:textFill>
              </w:rPr>
              <w:t>建设项目环境影响报</w:t>
            </w:r>
            <w:r>
              <w:rPr>
                <w:rFonts w:hint="eastAsia"/>
                <w:sz w:val="24"/>
                <w:lang w:val="en-US" w:eastAsia="zh-CN"/>
              </w:rPr>
              <w:t>告表》三、生态环境现状、保护目标及评价标准-二、环境质量现状及评价-</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环境空气-</w:t>
            </w:r>
            <w:r>
              <w:rPr>
                <w:rFonts w:hint="default"/>
                <w:sz w:val="24"/>
                <w:lang w:val="en-US" w:eastAsia="zh-CN"/>
              </w:rPr>
              <w:t>（2）特征污染物环境质量现状评价</w:t>
            </w:r>
            <w:r>
              <w:rPr>
                <w:rFonts w:hint="eastAsia"/>
                <w:sz w:val="24"/>
                <w:lang w:val="en-US" w:eastAsia="zh-CN"/>
              </w:rPr>
              <w:t>。</w:t>
            </w:r>
          </w:p>
          <w:p w14:paraId="337F5A0F">
            <w:pPr>
              <w:adjustRightInd w:val="0"/>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据《环境影响评价技术导则-大气环境》（HJ2.2-2018）现状评价可采用评价范围内及邻近评价范围内各例行空气质量监测点的近3年与项目有关的监测资料或搜集的3年内历史监测资料。且项目区域环境空气质量变化不大，故本次监测数据引用合理。详情如下：</w:t>
            </w:r>
          </w:p>
          <w:p w14:paraId="6B91D07B">
            <w:pPr>
              <w:pStyle w:val="83"/>
              <w:numPr>
                <w:ilvl w:val="-1"/>
                <w:numId w:val="0"/>
              </w:numPr>
              <w:adjustRightInd w:val="0"/>
              <w:snapToGrid w:val="0"/>
              <w:spacing w:line="520" w:lineRule="exact"/>
              <w:ind w:firstLine="280" w:firstLineChars="100"/>
              <w:rPr>
                <w:rFonts w:hint="eastAsia" w:hAnsi="宋体"/>
                <w:bCs/>
                <w:color w:val="000000" w:themeColor="text1"/>
                <w:sz w:val="24"/>
                <w:highlight w:val="none"/>
                <w:lang w:eastAsia="zh-CN"/>
                <w14:textFill>
                  <w14:solidFill>
                    <w14:schemeClr w14:val="tx1"/>
                  </w14:solidFill>
                </w14:textFill>
              </w:rPr>
            </w:pPr>
            <w:r>
              <w:rPr>
                <w:rFonts w:hint="eastAsia"/>
                <w:lang w:val="en-US" w:eastAsia="zh-CN"/>
              </w:rPr>
              <w:t>①</w:t>
            </w:r>
            <w:r>
              <w:rPr>
                <w:rFonts w:hint="eastAsia" w:hAnsi="宋体"/>
                <w:bCs/>
                <w:color w:val="000000" w:themeColor="text1"/>
                <w:sz w:val="24"/>
                <w:highlight w:val="none"/>
                <w14:textFill>
                  <w14:solidFill>
                    <w14:schemeClr w14:val="tx1"/>
                  </w14:solidFill>
                </w14:textFill>
              </w:rPr>
              <w:t>测点布设</w:t>
            </w:r>
            <w:r>
              <w:rPr>
                <w:rFonts w:hint="eastAsia" w:hAnsi="宋体"/>
                <w:bCs/>
                <w:color w:val="000000" w:themeColor="text1"/>
                <w:sz w:val="24"/>
                <w:highlight w:val="none"/>
                <w:lang w:eastAsia="zh-CN"/>
                <w14:textFill>
                  <w14:solidFill>
                    <w14:schemeClr w14:val="tx1"/>
                  </w14:solidFill>
                </w14:textFill>
              </w:rPr>
              <w:t>：</w:t>
            </w:r>
          </w:p>
          <w:p w14:paraId="41552A35">
            <w:pPr>
              <w:pStyle w:val="83"/>
              <w:numPr>
                <w:ilvl w:val="-1"/>
                <w:numId w:val="0"/>
              </w:numPr>
              <w:adjustRightInd w:val="0"/>
              <w:snapToGrid w:val="0"/>
              <w:spacing w:line="520" w:lineRule="exact"/>
              <w:ind w:firstLine="240" w:firstLineChars="100"/>
              <w:rPr>
                <w:rFonts w:hint="eastAsia"/>
                <w:sz w:val="24"/>
                <w:lang w:eastAsia="zh-CN"/>
              </w:rPr>
            </w:pPr>
            <w:r>
              <w:rPr>
                <w:rFonts w:hint="eastAsia"/>
                <w:sz w:val="24"/>
                <w:lang w:eastAsia="zh-CN"/>
              </w:rPr>
              <w:t>本次大气环境质量现状监测共布设2个大气环境质量监测点，监测时间为2022年4月18日~2022年4月20日，各点位具体情况及监测项目见表 3-3，监测结果见表3-</w:t>
            </w:r>
            <w:r>
              <w:rPr>
                <w:rFonts w:hint="eastAsia"/>
                <w:sz w:val="24"/>
                <w:lang w:val="en-US" w:eastAsia="zh-CN"/>
              </w:rPr>
              <w:t>4</w:t>
            </w:r>
            <w:r>
              <w:rPr>
                <w:rFonts w:hint="eastAsia"/>
                <w:sz w:val="24"/>
                <w:lang w:eastAsia="zh-CN"/>
              </w:rPr>
              <w:t>，监测点位置见图3-1。</w:t>
            </w:r>
          </w:p>
          <w:p w14:paraId="71A8356B">
            <w:pPr>
              <w:adjustRightInd w:val="0"/>
              <w:spacing w:line="360" w:lineRule="auto"/>
              <w:ind w:firstLine="482" w:firstLineChars="200"/>
              <w:jc w:val="center"/>
              <w:rPr>
                <w:rFonts w:hint="eastAsia"/>
                <w:b/>
                <w:color w:val="000000" w:themeColor="text1"/>
                <w:sz w:val="24"/>
                <w:highlight w:val="none"/>
                <w14:textFill>
                  <w14:solidFill>
                    <w14:schemeClr w14:val="tx1"/>
                  </w14:solidFill>
                </w14:textFill>
              </w:rPr>
            </w:pPr>
          </w:p>
          <w:p w14:paraId="5D52DDF5">
            <w:pPr>
              <w:adjustRightInd w:val="0"/>
              <w:spacing w:line="360" w:lineRule="auto"/>
              <w:ind w:firstLine="482" w:firstLineChars="20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表3-</w:t>
            </w:r>
            <w:r>
              <w:rPr>
                <w:rFonts w:hint="eastAsia"/>
                <w:b/>
                <w:color w:val="000000" w:themeColor="text1"/>
                <w:sz w:val="24"/>
                <w:highlight w:val="none"/>
                <w:lang w:val="en-US" w:eastAsia="zh-CN"/>
                <w14:textFill>
                  <w14:solidFill>
                    <w14:schemeClr w14:val="tx1"/>
                  </w14:solidFill>
                </w14:textFill>
              </w:rPr>
              <w:t>4</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大气环境监测点布设表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296"/>
              <w:gridCol w:w="1626"/>
              <w:gridCol w:w="1657"/>
              <w:gridCol w:w="2489"/>
            </w:tblGrid>
            <w:tr w14:paraId="25E7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42" w:type="dxa"/>
                  <w:vMerge w:val="restart"/>
                  <w:tcBorders>
                    <w:top w:val="single" w:color="auto" w:sz="4" w:space="0"/>
                    <w:left w:val="single" w:color="auto" w:sz="4" w:space="0"/>
                    <w:bottom w:val="single" w:color="auto" w:sz="4" w:space="0"/>
                    <w:right w:val="single" w:color="auto" w:sz="4" w:space="0"/>
                  </w:tcBorders>
                  <w:noWrap w:val="0"/>
                  <w:vAlign w:val="center"/>
                </w:tcPr>
                <w:p w14:paraId="082D0753">
                  <w:pPr>
                    <w:spacing w:line="36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点位编号</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6A57B34">
                  <w:pPr>
                    <w:pStyle w:val="86"/>
                    <w:rPr>
                      <w:rFonts w:ascii="Times New Roman"/>
                      <w:b/>
                      <w:color w:val="000000" w:themeColor="text1"/>
                      <w:highlight w:val="none"/>
                      <w14:textFill>
                        <w14:solidFill>
                          <w14:schemeClr w14:val="tx1"/>
                        </w14:solidFill>
                      </w14:textFill>
                    </w:rPr>
                  </w:pPr>
                  <w:r>
                    <w:rPr>
                      <w:rFonts w:hint="eastAsia" w:ascii="Times New Roman"/>
                      <w:b/>
                      <w:color w:val="000000" w:themeColor="text1"/>
                      <w:highlight w:val="none"/>
                      <w14:textFill>
                        <w14:solidFill>
                          <w14:schemeClr w14:val="tx1"/>
                        </w14:solidFill>
                      </w14:textFill>
                    </w:rPr>
                    <w:t>监测点位</w:t>
                  </w:r>
                </w:p>
              </w:tc>
              <w:tc>
                <w:tcPr>
                  <w:tcW w:w="3600" w:type="dxa"/>
                  <w:gridSpan w:val="2"/>
                  <w:tcBorders>
                    <w:top w:val="single" w:color="auto" w:sz="4" w:space="0"/>
                    <w:left w:val="single" w:color="auto" w:sz="4" w:space="0"/>
                    <w:bottom w:val="single" w:color="auto" w:sz="4" w:space="0"/>
                    <w:right w:val="single" w:color="auto" w:sz="4" w:space="0"/>
                  </w:tcBorders>
                  <w:noWrap w:val="0"/>
                  <w:vAlign w:val="center"/>
                </w:tcPr>
                <w:p w14:paraId="33B94167">
                  <w:pPr>
                    <w:spacing w:line="36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与本项目（</w:t>
                  </w:r>
                  <w:r>
                    <w:rPr>
                      <w:rFonts w:hint="eastAsia"/>
                      <w:b/>
                      <w:color w:val="000000" w:themeColor="text1"/>
                      <w:sz w:val="21"/>
                      <w:szCs w:val="21"/>
                      <w:highlight w:val="none"/>
                      <w:lang w:val="en-US" w:eastAsia="zh-CN"/>
                      <w14:textFill>
                        <w14:solidFill>
                          <w14:schemeClr w14:val="tx1"/>
                        </w14:solidFill>
                      </w14:textFill>
                    </w:rPr>
                    <w:t>中江材料</w:t>
                  </w:r>
                  <w:r>
                    <w:rPr>
                      <w:rFonts w:hint="eastAsia"/>
                      <w:b/>
                      <w:color w:val="000000" w:themeColor="text1"/>
                      <w:sz w:val="21"/>
                      <w:szCs w:val="21"/>
                      <w:highlight w:val="none"/>
                      <w14:textFill>
                        <w14:solidFill>
                          <w14:schemeClr w14:val="tx1"/>
                        </w14:solidFill>
                      </w14:textFill>
                    </w:rPr>
                    <w:t>）位置关系</w:t>
                  </w:r>
                </w:p>
              </w:tc>
              <w:tc>
                <w:tcPr>
                  <w:tcW w:w="2667" w:type="dxa"/>
                  <w:vMerge w:val="restart"/>
                  <w:tcBorders>
                    <w:top w:val="single" w:color="auto" w:sz="4" w:space="0"/>
                    <w:left w:val="single" w:color="auto" w:sz="4" w:space="0"/>
                    <w:bottom w:val="single" w:color="auto" w:sz="4" w:space="0"/>
                    <w:right w:val="single" w:color="auto" w:sz="4" w:space="0"/>
                  </w:tcBorders>
                  <w:noWrap w:val="0"/>
                  <w:vAlign w:val="center"/>
                </w:tcPr>
                <w:p w14:paraId="3A537DEE">
                  <w:pPr>
                    <w:spacing w:line="36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环境功能区类别</w:t>
                  </w:r>
                </w:p>
              </w:tc>
            </w:tr>
            <w:tr w14:paraId="5231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42" w:type="dxa"/>
                  <w:vMerge w:val="continue"/>
                  <w:tcBorders>
                    <w:top w:val="single" w:color="auto" w:sz="4" w:space="0"/>
                    <w:left w:val="single" w:color="auto" w:sz="4" w:space="0"/>
                    <w:bottom w:val="single" w:color="auto" w:sz="4" w:space="0"/>
                    <w:right w:val="single" w:color="auto" w:sz="4" w:space="0"/>
                  </w:tcBorders>
                  <w:noWrap w:val="0"/>
                  <w:vAlign w:val="center"/>
                </w:tcPr>
                <w:p w14:paraId="7C3EC38B">
                  <w:pPr>
                    <w:widowControl/>
                    <w:jc w:val="left"/>
                    <w:rPr>
                      <w:b/>
                      <w:color w:val="000000" w:themeColor="text1"/>
                      <w:sz w:val="21"/>
                      <w:szCs w:val="21"/>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B1329CC">
                  <w:pPr>
                    <w:widowControl/>
                    <w:jc w:val="left"/>
                    <w:rPr>
                      <w:b/>
                      <w:color w:val="000000" w:themeColor="text1"/>
                      <w:sz w:val="21"/>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D7D338">
                  <w:pPr>
                    <w:spacing w:line="36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方位</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74CAE7">
                  <w:pPr>
                    <w:spacing w:line="360" w:lineRule="exact"/>
                    <w:jc w:val="center"/>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距离</w:t>
                  </w:r>
                </w:p>
              </w:tc>
              <w:tc>
                <w:tcPr>
                  <w:tcW w:w="2667" w:type="dxa"/>
                  <w:vMerge w:val="continue"/>
                  <w:tcBorders>
                    <w:top w:val="single" w:color="auto" w:sz="4" w:space="0"/>
                    <w:left w:val="single" w:color="auto" w:sz="4" w:space="0"/>
                    <w:bottom w:val="single" w:color="auto" w:sz="4" w:space="0"/>
                    <w:right w:val="single" w:color="auto" w:sz="4" w:space="0"/>
                  </w:tcBorders>
                  <w:noWrap w:val="0"/>
                  <w:vAlign w:val="center"/>
                </w:tcPr>
                <w:p w14:paraId="2C96D0C8">
                  <w:pPr>
                    <w:widowControl/>
                    <w:jc w:val="left"/>
                    <w:rPr>
                      <w:b/>
                      <w:color w:val="000000" w:themeColor="text1"/>
                      <w:sz w:val="21"/>
                      <w:szCs w:val="21"/>
                      <w:highlight w:val="none"/>
                      <w14:textFill>
                        <w14:solidFill>
                          <w14:schemeClr w14:val="tx1"/>
                        </w14:solidFill>
                      </w14:textFill>
                    </w:rPr>
                  </w:pPr>
                </w:p>
              </w:tc>
            </w:tr>
            <w:tr w14:paraId="659B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633C1A77">
                  <w:pPr>
                    <w:spacing w:line="36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G1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DB5ABC">
                  <w:pPr>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贾庵村</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DBD6A0">
                  <w:pPr>
                    <w:spacing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S</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8F29270">
                  <w:pPr>
                    <w:spacing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3382</w:t>
                  </w:r>
                  <w:r>
                    <w:rPr>
                      <w:color w:val="000000" w:themeColor="text1"/>
                      <w:sz w:val="21"/>
                      <w:szCs w:val="21"/>
                      <w:highlight w:val="none"/>
                      <w14:textFill>
                        <w14:solidFill>
                          <w14:schemeClr w14:val="tx1"/>
                        </w14:solidFill>
                      </w14:textFill>
                    </w:rPr>
                    <w:t>m</w:t>
                  </w:r>
                </w:p>
              </w:tc>
              <w:tc>
                <w:tcPr>
                  <w:tcW w:w="2667" w:type="dxa"/>
                  <w:vMerge w:val="restart"/>
                  <w:tcBorders>
                    <w:top w:val="single" w:color="auto" w:sz="4" w:space="0"/>
                    <w:left w:val="single" w:color="auto" w:sz="4" w:space="0"/>
                    <w:bottom w:val="single" w:color="auto" w:sz="4" w:space="0"/>
                    <w:right w:val="single" w:color="auto" w:sz="4" w:space="0"/>
                  </w:tcBorders>
                  <w:noWrap w:val="0"/>
                  <w:vAlign w:val="center"/>
                </w:tcPr>
                <w:p w14:paraId="3873E93F">
                  <w:pPr>
                    <w:spacing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GB3095-2012中二级标准</w:t>
                  </w:r>
                  <w:r>
                    <w:rPr>
                      <w:color w:val="000000" w:themeColor="text1"/>
                      <w:sz w:val="21"/>
                      <w:szCs w:val="21"/>
                      <w:highlight w:val="none"/>
                      <w14:textFill>
                        <w14:solidFill>
                          <w14:schemeClr w14:val="tx1"/>
                        </w14:solidFill>
                      </w14:textFill>
                    </w:rPr>
                    <w:t xml:space="preserve"> </w:t>
                  </w:r>
                </w:p>
              </w:tc>
            </w:tr>
            <w:tr w14:paraId="747A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42" w:type="dxa"/>
                  <w:tcBorders>
                    <w:top w:val="single" w:color="auto" w:sz="4" w:space="0"/>
                    <w:left w:val="single" w:color="auto" w:sz="4" w:space="0"/>
                    <w:bottom w:val="single" w:color="auto" w:sz="4" w:space="0"/>
                    <w:right w:val="single" w:color="auto" w:sz="4" w:space="0"/>
                  </w:tcBorders>
                  <w:noWrap w:val="0"/>
                  <w:vAlign w:val="center"/>
                </w:tcPr>
                <w:p w14:paraId="7333BBE8">
                  <w:pPr>
                    <w:spacing w:line="36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G2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1D45A1D">
                  <w:pPr>
                    <w:spacing w:line="360" w:lineRule="exact"/>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八里岗</w:t>
                  </w:r>
                  <w:r>
                    <w:rPr>
                      <w:rFonts w:hint="eastAsia"/>
                      <w:color w:val="000000" w:themeColor="text1"/>
                      <w:sz w:val="21"/>
                      <w:szCs w:val="21"/>
                      <w:highlight w:val="none"/>
                      <w14:textFill>
                        <w14:solidFill>
                          <w14:schemeClr w14:val="tx1"/>
                        </w14:solidFill>
                      </w14:textFill>
                    </w:rPr>
                    <w:t>村</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0820B89">
                  <w:pPr>
                    <w:spacing w:line="360" w:lineRule="exact"/>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SSE</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DA37815">
                  <w:pPr>
                    <w:spacing w:line="360" w:lineRule="exact"/>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4300</w:t>
                  </w:r>
                  <w:r>
                    <w:rPr>
                      <w:color w:val="000000" w:themeColor="text1"/>
                      <w:sz w:val="21"/>
                      <w:szCs w:val="21"/>
                      <w:highlight w:val="none"/>
                      <w14:textFill>
                        <w14:solidFill>
                          <w14:schemeClr w14:val="tx1"/>
                        </w14:solidFill>
                      </w14:textFill>
                    </w:rPr>
                    <w:t>m</w:t>
                  </w:r>
                </w:p>
              </w:tc>
              <w:tc>
                <w:tcPr>
                  <w:tcW w:w="2667" w:type="dxa"/>
                  <w:vMerge w:val="continue"/>
                  <w:tcBorders>
                    <w:top w:val="single" w:color="auto" w:sz="4" w:space="0"/>
                    <w:left w:val="single" w:color="auto" w:sz="4" w:space="0"/>
                    <w:bottom w:val="single" w:color="auto" w:sz="4" w:space="0"/>
                    <w:right w:val="single" w:color="auto" w:sz="4" w:space="0"/>
                  </w:tcBorders>
                  <w:noWrap w:val="0"/>
                  <w:vAlign w:val="center"/>
                </w:tcPr>
                <w:p w14:paraId="53C6C234">
                  <w:pPr>
                    <w:widowControl/>
                    <w:jc w:val="left"/>
                    <w:rPr>
                      <w:color w:val="000000" w:themeColor="text1"/>
                      <w:sz w:val="21"/>
                      <w:szCs w:val="21"/>
                      <w:highlight w:val="none"/>
                      <w14:textFill>
                        <w14:solidFill>
                          <w14:schemeClr w14:val="tx1"/>
                        </w14:solidFill>
                      </w14:textFill>
                    </w:rPr>
                  </w:pPr>
                </w:p>
              </w:tc>
            </w:tr>
          </w:tbl>
          <w:p w14:paraId="7648AEA9">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14:paraId="2EDACFF8">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 xml:space="preserve">表 </w:t>
            </w:r>
            <w:r>
              <w:rPr>
                <w:rFonts w:hint="default" w:ascii="Times New Roman" w:hAnsi="Times New Roman" w:eastAsia="宋体" w:cs="Times New Roman"/>
                <w:b/>
                <w:bCs/>
                <w:color w:val="000000"/>
                <w:kern w:val="0"/>
                <w:sz w:val="24"/>
                <w:szCs w:val="24"/>
                <w:lang w:val="en-US" w:eastAsia="zh-CN" w:bidi="ar"/>
              </w:rPr>
              <w:t>3-</w:t>
            </w:r>
            <w:r>
              <w:rPr>
                <w:rFonts w:hint="eastAsia" w:ascii="Times New Roman" w:hAnsi="Times New Roman" w:eastAsia="宋体" w:cs="Times New Roman"/>
                <w:b/>
                <w:bCs/>
                <w:color w:val="000000"/>
                <w:kern w:val="0"/>
                <w:sz w:val="24"/>
                <w:szCs w:val="24"/>
                <w:lang w:val="en-US" w:eastAsia="zh-CN" w:bidi="ar"/>
              </w:rPr>
              <w:t>5</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监测结果一览表 单位：</w:t>
            </w:r>
            <w:r>
              <w:rPr>
                <w:rFonts w:hint="default" w:ascii="Times New Roman" w:hAnsi="Times New Roman" w:eastAsia="宋体" w:cs="Times New Roman"/>
                <w:b/>
                <w:bCs/>
                <w:color w:val="000000"/>
                <w:kern w:val="0"/>
                <w:sz w:val="24"/>
                <w:szCs w:val="24"/>
                <w:lang w:val="en-US" w:eastAsia="zh-CN" w:bidi="ar"/>
              </w:rPr>
              <w:t>mg/m</w:t>
            </w:r>
            <w:r>
              <w:rPr>
                <w:rFonts w:hint="default" w:ascii="Times New Roman" w:hAnsi="Times New Roman" w:eastAsia="宋体" w:cs="Times New Roman"/>
                <w:b/>
                <w:bCs/>
                <w:color w:val="000000"/>
                <w:kern w:val="0"/>
                <w:sz w:val="15"/>
                <w:szCs w:val="15"/>
                <w:lang w:val="en-US" w:eastAsia="zh-CN" w:bidi="ar"/>
              </w:rPr>
              <w:t>3</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523"/>
              <w:gridCol w:w="1315"/>
              <w:gridCol w:w="2197"/>
              <w:gridCol w:w="1056"/>
            </w:tblGrid>
            <w:tr w14:paraId="18DE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tcPr>
                <w:p w14:paraId="01901F3A">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监测点</w:t>
                  </w:r>
                </w:p>
              </w:tc>
              <w:tc>
                <w:tcPr>
                  <w:tcW w:w="969" w:type="pct"/>
                </w:tcPr>
                <w:p w14:paraId="67C508AA">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监测项目</w:t>
                  </w:r>
                </w:p>
              </w:tc>
              <w:tc>
                <w:tcPr>
                  <w:tcW w:w="2235" w:type="pct"/>
                  <w:gridSpan w:val="2"/>
                </w:tcPr>
                <w:p w14:paraId="4AA93EDD">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采样时间</w:t>
                  </w:r>
                </w:p>
              </w:tc>
              <w:tc>
                <w:tcPr>
                  <w:tcW w:w="672" w:type="pct"/>
                </w:tcPr>
                <w:p w14:paraId="1E9129D4">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浓度</w:t>
                  </w:r>
                </w:p>
              </w:tc>
            </w:tr>
            <w:tr w14:paraId="77D9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restart"/>
                  <w:vAlign w:val="top"/>
                </w:tcPr>
                <w:p w14:paraId="7DE235D2">
                  <w:pPr>
                    <w:keepNext w:val="0"/>
                    <w:keepLines w:val="0"/>
                    <w:widowControl/>
                    <w:suppressLineNumbers w:val="0"/>
                    <w:jc w:val="center"/>
                    <w:rPr>
                      <w:rFonts w:hint="eastAsia" w:ascii="宋体" w:hAnsi="宋体" w:eastAsia="宋体" w:cs="宋体"/>
                      <w:color w:val="000000"/>
                      <w:kern w:val="0"/>
                      <w:sz w:val="20"/>
                      <w:szCs w:val="20"/>
                      <w:lang w:val="en-US" w:eastAsia="zh-CN" w:bidi="ar"/>
                    </w:rPr>
                  </w:pPr>
                </w:p>
                <w:p w14:paraId="7FE8D16D">
                  <w:pPr>
                    <w:keepNext w:val="0"/>
                    <w:keepLines w:val="0"/>
                    <w:widowControl/>
                    <w:suppressLineNumbers w:val="0"/>
                    <w:jc w:val="center"/>
                    <w:rPr>
                      <w:rFonts w:hint="eastAsia" w:ascii="宋体" w:hAnsi="宋体" w:eastAsia="宋体" w:cs="宋体"/>
                      <w:color w:val="000000"/>
                      <w:kern w:val="0"/>
                      <w:sz w:val="20"/>
                      <w:szCs w:val="20"/>
                      <w:lang w:val="en-US" w:eastAsia="zh-CN" w:bidi="ar"/>
                    </w:rPr>
                  </w:pPr>
                </w:p>
                <w:p w14:paraId="2C8652BC">
                  <w:pPr>
                    <w:widowControl/>
                    <w:jc w:val="center"/>
                    <w:rPr>
                      <w:rFonts w:hint="eastAsia" w:ascii="宋体" w:hAnsi="宋体" w:eastAsia="宋体" w:cs="Times New Roman"/>
                      <w:kern w:val="0"/>
                      <w:sz w:val="24"/>
                      <w:szCs w:val="24"/>
                      <w:vertAlign w:val="baseline"/>
                      <w:lang w:val="en-US" w:eastAsia="zh-CN" w:bidi="ar-SA"/>
                    </w:rPr>
                  </w:pPr>
                  <w:r>
                    <w:rPr>
                      <w:rFonts w:hint="eastAsia" w:ascii="宋体" w:hAnsi="宋体" w:eastAsia="宋体" w:cs="宋体"/>
                      <w:color w:val="000000"/>
                      <w:kern w:val="0"/>
                      <w:sz w:val="20"/>
                      <w:szCs w:val="20"/>
                      <w:lang w:val="en-US" w:eastAsia="zh-CN" w:bidi="ar"/>
                    </w:rPr>
                    <w:t>贾庵村G1</w:t>
                  </w:r>
                </w:p>
              </w:tc>
              <w:tc>
                <w:tcPr>
                  <w:tcW w:w="969" w:type="pct"/>
                  <w:vMerge w:val="restart"/>
                </w:tcPr>
                <w:p w14:paraId="54F7A430">
                  <w:pPr>
                    <w:widowControl/>
                    <w:jc w:val="center"/>
                    <w:rPr>
                      <w:rFonts w:hint="eastAsia" w:ascii="宋体" w:hAnsi="宋体" w:eastAsia="宋体" w:cs="宋体"/>
                      <w:color w:val="000000"/>
                      <w:kern w:val="0"/>
                      <w:sz w:val="24"/>
                      <w:szCs w:val="24"/>
                      <w:lang w:val="en-US" w:eastAsia="zh-CN" w:bidi="ar"/>
                    </w:rPr>
                  </w:pPr>
                </w:p>
                <w:p w14:paraId="276BB4C9">
                  <w:pPr>
                    <w:widowControl/>
                    <w:jc w:val="center"/>
                    <w:rPr>
                      <w:rFonts w:hint="eastAsia" w:ascii="宋体" w:hAnsi="宋体" w:eastAsia="宋体" w:cs="宋体"/>
                      <w:color w:val="000000"/>
                      <w:kern w:val="0"/>
                      <w:sz w:val="24"/>
                      <w:szCs w:val="24"/>
                      <w:lang w:val="en-US" w:eastAsia="zh-CN" w:bidi="ar"/>
                    </w:rPr>
                  </w:pPr>
                </w:p>
                <w:p w14:paraId="577539AF">
                  <w:pPr>
                    <w:widowControl/>
                    <w:jc w:val="center"/>
                    <w:rPr>
                      <w:rFonts w:hint="eastAsia"/>
                      <w:sz w:val="24"/>
                      <w:vertAlign w:val="baseline"/>
                      <w:lang w:eastAsia="zh-CN"/>
                    </w:rPr>
                  </w:pPr>
                  <w:r>
                    <w:rPr>
                      <w:rFonts w:hint="eastAsia" w:ascii="宋体" w:hAnsi="宋体" w:eastAsia="宋体" w:cs="宋体"/>
                      <w:color w:val="000000"/>
                      <w:kern w:val="0"/>
                      <w:sz w:val="24"/>
                      <w:szCs w:val="24"/>
                      <w:lang w:val="en-US" w:eastAsia="zh-CN" w:bidi="ar"/>
                    </w:rPr>
                    <w:t>TSP</w:t>
                  </w:r>
                </w:p>
              </w:tc>
              <w:tc>
                <w:tcPr>
                  <w:tcW w:w="837" w:type="pct"/>
                </w:tcPr>
                <w:p w14:paraId="12EA3F22">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2022.4.18</w:t>
                  </w:r>
                </w:p>
              </w:tc>
              <w:tc>
                <w:tcPr>
                  <w:tcW w:w="1397" w:type="pct"/>
                </w:tcPr>
                <w:p w14:paraId="0ECE5196">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2CD87874">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0.140</w:t>
                  </w:r>
                </w:p>
              </w:tc>
            </w:tr>
            <w:tr w14:paraId="07A3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continue"/>
                </w:tcPr>
                <w:p w14:paraId="064DACA2">
                  <w:pPr>
                    <w:pStyle w:val="83"/>
                    <w:numPr>
                      <w:ilvl w:val="-1"/>
                      <w:numId w:val="0"/>
                    </w:numPr>
                    <w:adjustRightInd w:val="0"/>
                    <w:snapToGrid w:val="0"/>
                    <w:spacing w:line="520" w:lineRule="exact"/>
                    <w:jc w:val="center"/>
                    <w:rPr>
                      <w:rFonts w:hint="eastAsia"/>
                      <w:sz w:val="24"/>
                      <w:vertAlign w:val="baseline"/>
                      <w:lang w:eastAsia="zh-CN"/>
                    </w:rPr>
                  </w:pPr>
                </w:p>
              </w:tc>
              <w:tc>
                <w:tcPr>
                  <w:tcW w:w="969" w:type="pct"/>
                  <w:vMerge w:val="continue"/>
                </w:tcPr>
                <w:p w14:paraId="6DDD25D7">
                  <w:pPr>
                    <w:pStyle w:val="83"/>
                    <w:numPr>
                      <w:ilvl w:val="-1"/>
                      <w:numId w:val="0"/>
                    </w:numPr>
                    <w:adjustRightInd w:val="0"/>
                    <w:snapToGrid w:val="0"/>
                    <w:spacing w:line="520" w:lineRule="exact"/>
                    <w:jc w:val="center"/>
                    <w:rPr>
                      <w:rFonts w:hint="eastAsia"/>
                      <w:sz w:val="24"/>
                      <w:vertAlign w:val="baseline"/>
                      <w:lang w:eastAsia="zh-CN"/>
                    </w:rPr>
                  </w:pPr>
                </w:p>
              </w:tc>
              <w:tc>
                <w:tcPr>
                  <w:tcW w:w="837" w:type="pct"/>
                </w:tcPr>
                <w:p w14:paraId="33B0DCF8">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2022.4.1</w:t>
                  </w:r>
                  <w:r>
                    <w:rPr>
                      <w:rFonts w:hint="eastAsia" w:ascii="Times New Roman" w:hAnsi="Times New Roman" w:eastAsia="宋体" w:cs="Times New Roman"/>
                      <w:color w:val="000000"/>
                      <w:kern w:val="0"/>
                      <w:sz w:val="20"/>
                      <w:szCs w:val="20"/>
                      <w:lang w:val="en-US" w:eastAsia="zh-CN" w:bidi="ar"/>
                    </w:rPr>
                    <w:t>9</w:t>
                  </w:r>
                </w:p>
              </w:tc>
              <w:tc>
                <w:tcPr>
                  <w:tcW w:w="1397" w:type="pct"/>
                </w:tcPr>
                <w:p w14:paraId="6C531B74">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3CA3A2FC">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0.145</w:t>
                  </w:r>
                </w:p>
              </w:tc>
            </w:tr>
            <w:tr w14:paraId="135A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continue"/>
                </w:tcPr>
                <w:p w14:paraId="38748969">
                  <w:pPr>
                    <w:pStyle w:val="83"/>
                    <w:numPr>
                      <w:ilvl w:val="-1"/>
                      <w:numId w:val="0"/>
                    </w:numPr>
                    <w:adjustRightInd w:val="0"/>
                    <w:snapToGrid w:val="0"/>
                    <w:spacing w:line="520" w:lineRule="exact"/>
                    <w:jc w:val="center"/>
                    <w:rPr>
                      <w:rFonts w:hint="eastAsia"/>
                      <w:sz w:val="24"/>
                      <w:vertAlign w:val="baseline"/>
                      <w:lang w:eastAsia="zh-CN"/>
                    </w:rPr>
                  </w:pPr>
                </w:p>
              </w:tc>
              <w:tc>
                <w:tcPr>
                  <w:tcW w:w="969" w:type="pct"/>
                  <w:vMerge w:val="continue"/>
                </w:tcPr>
                <w:p w14:paraId="5F657E2E">
                  <w:pPr>
                    <w:pStyle w:val="83"/>
                    <w:numPr>
                      <w:ilvl w:val="-1"/>
                      <w:numId w:val="0"/>
                    </w:numPr>
                    <w:adjustRightInd w:val="0"/>
                    <w:snapToGrid w:val="0"/>
                    <w:spacing w:line="520" w:lineRule="exact"/>
                    <w:jc w:val="center"/>
                    <w:rPr>
                      <w:rFonts w:hint="eastAsia"/>
                      <w:sz w:val="24"/>
                      <w:vertAlign w:val="baseline"/>
                      <w:lang w:eastAsia="zh-CN"/>
                    </w:rPr>
                  </w:pPr>
                </w:p>
              </w:tc>
              <w:tc>
                <w:tcPr>
                  <w:tcW w:w="837" w:type="pct"/>
                </w:tcPr>
                <w:p w14:paraId="223DF37C">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2022.4.</w:t>
                  </w:r>
                  <w:r>
                    <w:rPr>
                      <w:rFonts w:hint="eastAsia" w:ascii="Times New Roman" w:hAnsi="Times New Roman" w:eastAsia="宋体" w:cs="Times New Roman"/>
                      <w:color w:val="000000"/>
                      <w:kern w:val="0"/>
                      <w:sz w:val="20"/>
                      <w:szCs w:val="20"/>
                      <w:lang w:val="en-US" w:eastAsia="zh-CN" w:bidi="ar"/>
                    </w:rPr>
                    <w:t>20</w:t>
                  </w:r>
                </w:p>
              </w:tc>
              <w:tc>
                <w:tcPr>
                  <w:tcW w:w="1397" w:type="pct"/>
                </w:tcPr>
                <w:p w14:paraId="1851F1B1">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3770008D">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0.132</w:t>
                  </w:r>
                </w:p>
              </w:tc>
            </w:tr>
            <w:tr w14:paraId="28AC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restart"/>
                </w:tcPr>
                <w:p w14:paraId="4DF90BDA">
                  <w:pPr>
                    <w:widowControl/>
                    <w:jc w:val="center"/>
                    <w:rPr>
                      <w:rFonts w:hint="eastAsia" w:ascii="宋体" w:hAnsi="宋体" w:eastAsia="宋体" w:cs="宋体"/>
                      <w:color w:val="000000"/>
                      <w:kern w:val="0"/>
                      <w:sz w:val="20"/>
                      <w:szCs w:val="20"/>
                      <w:lang w:val="en-US" w:eastAsia="zh-CN" w:bidi="ar"/>
                    </w:rPr>
                  </w:pPr>
                </w:p>
                <w:p w14:paraId="5BE334B3">
                  <w:pPr>
                    <w:widowControl/>
                    <w:jc w:val="center"/>
                    <w:rPr>
                      <w:rFonts w:hint="eastAsia" w:ascii="宋体" w:hAnsi="宋体" w:eastAsia="宋体" w:cs="宋体"/>
                      <w:color w:val="000000"/>
                      <w:kern w:val="0"/>
                      <w:sz w:val="20"/>
                      <w:szCs w:val="20"/>
                      <w:lang w:val="en-US" w:eastAsia="zh-CN" w:bidi="ar"/>
                    </w:rPr>
                  </w:pPr>
                </w:p>
                <w:p w14:paraId="6C8CDC61">
                  <w:pPr>
                    <w:widowControl/>
                    <w:jc w:val="center"/>
                    <w:rPr>
                      <w:rFonts w:hint="eastAsia"/>
                      <w:sz w:val="24"/>
                      <w:vertAlign w:val="baseline"/>
                      <w:lang w:eastAsia="zh-CN"/>
                    </w:rPr>
                  </w:pPr>
                  <w:r>
                    <w:rPr>
                      <w:rFonts w:hint="eastAsia" w:ascii="宋体" w:hAnsi="宋体" w:eastAsia="宋体" w:cs="宋体"/>
                      <w:color w:val="000000"/>
                      <w:kern w:val="0"/>
                      <w:sz w:val="20"/>
                      <w:szCs w:val="20"/>
                      <w:lang w:val="en-US" w:eastAsia="zh-CN" w:bidi="ar"/>
                    </w:rPr>
                    <w:t xml:space="preserve">八里岗村 </w:t>
                  </w:r>
                  <w:r>
                    <w:rPr>
                      <w:rFonts w:hint="default" w:ascii="Times New Roman" w:hAnsi="Times New Roman" w:eastAsia="宋体" w:cs="Times New Roman"/>
                      <w:color w:val="000000"/>
                      <w:kern w:val="0"/>
                      <w:sz w:val="20"/>
                      <w:szCs w:val="20"/>
                      <w:lang w:val="en-US" w:eastAsia="zh-CN" w:bidi="ar"/>
                    </w:rPr>
                    <w:t>G2</w:t>
                  </w:r>
                </w:p>
              </w:tc>
              <w:tc>
                <w:tcPr>
                  <w:tcW w:w="969" w:type="pct"/>
                  <w:vMerge w:val="restart"/>
                </w:tcPr>
                <w:p w14:paraId="6DC848C4">
                  <w:pPr>
                    <w:pStyle w:val="83"/>
                    <w:numPr>
                      <w:ilvl w:val="-1"/>
                      <w:numId w:val="0"/>
                    </w:numPr>
                    <w:adjustRightInd w:val="0"/>
                    <w:snapToGrid w:val="0"/>
                    <w:spacing w:line="520" w:lineRule="exact"/>
                    <w:jc w:val="both"/>
                    <w:rPr>
                      <w:rFonts w:hint="eastAsia"/>
                      <w:sz w:val="24"/>
                      <w:vertAlign w:val="baseline"/>
                      <w:lang w:val="en-US" w:eastAsia="zh-CN"/>
                    </w:rPr>
                  </w:pPr>
                </w:p>
                <w:p w14:paraId="3B736E9D">
                  <w:pPr>
                    <w:pStyle w:val="83"/>
                    <w:numPr>
                      <w:ilvl w:val="-1"/>
                      <w:numId w:val="0"/>
                    </w:numPr>
                    <w:adjustRightInd w:val="0"/>
                    <w:snapToGrid w:val="0"/>
                    <w:spacing w:line="520" w:lineRule="exact"/>
                    <w:ind w:firstLine="480" w:firstLineChars="200"/>
                    <w:jc w:val="both"/>
                    <w:rPr>
                      <w:rFonts w:hint="default"/>
                      <w:sz w:val="24"/>
                      <w:vertAlign w:val="baseline"/>
                      <w:lang w:val="en-US" w:eastAsia="zh-CN"/>
                    </w:rPr>
                  </w:pPr>
                  <w:r>
                    <w:rPr>
                      <w:rFonts w:hint="eastAsia"/>
                      <w:sz w:val="24"/>
                      <w:vertAlign w:val="baseline"/>
                      <w:lang w:val="en-US" w:eastAsia="zh-CN"/>
                    </w:rPr>
                    <w:t>TSP</w:t>
                  </w:r>
                </w:p>
              </w:tc>
              <w:tc>
                <w:tcPr>
                  <w:tcW w:w="837" w:type="pct"/>
                </w:tcPr>
                <w:p w14:paraId="59BE3637">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2022.4.18</w:t>
                  </w:r>
                </w:p>
              </w:tc>
              <w:tc>
                <w:tcPr>
                  <w:tcW w:w="1397" w:type="pct"/>
                </w:tcPr>
                <w:p w14:paraId="49BC37E7">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4863F5EC">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0.122</w:t>
                  </w:r>
                </w:p>
              </w:tc>
            </w:tr>
            <w:tr w14:paraId="7A15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continue"/>
                </w:tcPr>
                <w:p w14:paraId="572056AA">
                  <w:pPr>
                    <w:pStyle w:val="83"/>
                    <w:numPr>
                      <w:ilvl w:val="-1"/>
                      <w:numId w:val="0"/>
                    </w:numPr>
                    <w:adjustRightInd w:val="0"/>
                    <w:snapToGrid w:val="0"/>
                    <w:spacing w:line="520" w:lineRule="exact"/>
                    <w:jc w:val="center"/>
                    <w:rPr>
                      <w:rFonts w:hint="eastAsia"/>
                      <w:sz w:val="24"/>
                      <w:vertAlign w:val="baseline"/>
                      <w:lang w:eastAsia="zh-CN"/>
                    </w:rPr>
                  </w:pPr>
                </w:p>
              </w:tc>
              <w:tc>
                <w:tcPr>
                  <w:tcW w:w="969" w:type="pct"/>
                  <w:vMerge w:val="continue"/>
                </w:tcPr>
                <w:p w14:paraId="7381D043">
                  <w:pPr>
                    <w:pStyle w:val="83"/>
                    <w:numPr>
                      <w:ilvl w:val="-1"/>
                      <w:numId w:val="0"/>
                    </w:numPr>
                    <w:adjustRightInd w:val="0"/>
                    <w:snapToGrid w:val="0"/>
                    <w:spacing w:line="520" w:lineRule="exact"/>
                    <w:jc w:val="center"/>
                    <w:rPr>
                      <w:rFonts w:hint="eastAsia"/>
                      <w:sz w:val="24"/>
                      <w:vertAlign w:val="baseline"/>
                      <w:lang w:eastAsia="zh-CN"/>
                    </w:rPr>
                  </w:pPr>
                </w:p>
              </w:tc>
              <w:tc>
                <w:tcPr>
                  <w:tcW w:w="837" w:type="pct"/>
                </w:tcPr>
                <w:p w14:paraId="1C9AFCBF">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2022.4.1</w:t>
                  </w:r>
                  <w:r>
                    <w:rPr>
                      <w:rFonts w:hint="eastAsia" w:ascii="Times New Roman" w:hAnsi="Times New Roman" w:eastAsia="宋体" w:cs="Times New Roman"/>
                      <w:color w:val="000000"/>
                      <w:kern w:val="0"/>
                      <w:sz w:val="20"/>
                      <w:szCs w:val="20"/>
                      <w:lang w:val="en-US" w:eastAsia="zh-CN" w:bidi="ar"/>
                    </w:rPr>
                    <w:t>9</w:t>
                  </w:r>
                </w:p>
              </w:tc>
              <w:tc>
                <w:tcPr>
                  <w:tcW w:w="1397" w:type="pct"/>
                </w:tcPr>
                <w:p w14:paraId="335975D1">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3023D0FB">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0.115</w:t>
                  </w:r>
                </w:p>
              </w:tc>
            </w:tr>
            <w:tr w14:paraId="6B30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pct"/>
                  <w:vMerge w:val="continue"/>
                </w:tcPr>
                <w:p w14:paraId="7418E1DD">
                  <w:pPr>
                    <w:pStyle w:val="83"/>
                    <w:numPr>
                      <w:ilvl w:val="-1"/>
                      <w:numId w:val="0"/>
                    </w:numPr>
                    <w:adjustRightInd w:val="0"/>
                    <w:snapToGrid w:val="0"/>
                    <w:spacing w:line="520" w:lineRule="exact"/>
                    <w:jc w:val="center"/>
                    <w:rPr>
                      <w:rFonts w:hint="eastAsia"/>
                      <w:sz w:val="24"/>
                      <w:vertAlign w:val="baseline"/>
                      <w:lang w:eastAsia="zh-CN"/>
                    </w:rPr>
                  </w:pPr>
                </w:p>
              </w:tc>
              <w:tc>
                <w:tcPr>
                  <w:tcW w:w="969" w:type="pct"/>
                  <w:vMerge w:val="continue"/>
                </w:tcPr>
                <w:p w14:paraId="7BD034F1">
                  <w:pPr>
                    <w:pStyle w:val="83"/>
                    <w:numPr>
                      <w:ilvl w:val="-1"/>
                      <w:numId w:val="0"/>
                    </w:numPr>
                    <w:adjustRightInd w:val="0"/>
                    <w:snapToGrid w:val="0"/>
                    <w:spacing w:line="520" w:lineRule="exact"/>
                    <w:jc w:val="center"/>
                    <w:rPr>
                      <w:rFonts w:hint="eastAsia"/>
                      <w:sz w:val="24"/>
                      <w:vertAlign w:val="baseline"/>
                      <w:lang w:eastAsia="zh-CN"/>
                    </w:rPr>
                  </w:pPr>
                </w:p>
              </w:tc>
              <w:tc>
                <w:tcPr>
                  <w:tcW w:w="837" w:type="pct"/>
                </w:tcPr>
                <w:p w14:paraId="34926802">
                  <w:pPr>
                    <w:widowControl/>
                    <w:jc w:val="center"/>
                    <w:rPr>
                      <w:rFonts w:hint="default"/>
                      <w:sz w:val="24"/>
                      <w:vertAlign w:val="baseline"/>
                      <w:lang w:val="en-US" w:eastAsia="zh-CN"/>
                    </w:rPr>
                  </w:pPr>
                  <w:r>
                    <w:rPr>
                      <w:rFonts w:hint="default" w:ascii="Times New Roman" w:hAnsi="Times New Roman" w:eastAsia="宋体" w:cs="Times New Roman"/>
                      <w:color w:val="000000"/>
                      <w:kern w:val="0"/>
                      <w:sz w:val="20"/>
                      <w:szCs w:val="20"/>
                      <w:lang w:val="en-US" w:eastAsia="zh-CN" w:bidi="ar"/>
                    </w:rPr>
                    <w:t>2022.4.</w:t>
                  </w:r>
                  <w:r>
                    <w:rPr>
                      <w:rFonts w:hint="eastAsia" w:ascii="Times New Roman" w:hAnsi="Times New Roman" w:eastAsia="宋体" w:cs="Times New Roman"/>
                      <w:color w:val="000000"/>
                      <w:kern w:val="0"/>
                      <w:sz w:val="20"/>
                      <w:szCs w:val="20"/>
                      <w:lang w:val="en-US" w:eastAsia="zh-CN" w:bidi="ar"/>
                    </w:rPr>
                    <w:t>20</w:t>
                  </w:r>
                </w:p>
              </w:tc>
              <w:tc>
                <w:tcPr>
                  <w:tcW w:w="1397" w:type="pct"/>
                </w:tcPr>
                <w:p w14:paraId="22F4A64F">
                  <w:pPr>
                    <w:widowControl/>
                    <w:jc w:val="center"/>
                    <w:rPr>
                      <w:rFonts w:hint="eastAsia"/>
                      <w:sz w:val="24"/>
                      <w:vertAlign w:val="baseline"/>
                      <w:lang w:eastAsia="zh-CN"/>
                    </w:rPr>
                  </w:pPr>
                  <w:r>
                    <w:rPr>
                      <w:rFonts w:hint="default" w:ascii="Times New Roman" w:hAnsi="Times New Roman" w:eastAsia="宋体" w:cs="Times New Roman"/>
                      <w:color w:val="000000"/>
                      <w:kern w:val="0"/>
                      <w:sz w:val="20"/>
                      <w:szCs w:val="20"/>
                      <w:lang w:val="en-US" w:eastAsia="zh-CN" w:bidi="ar"/>
                    </w:rPr>
                    <w:t>02:00-</w:t>
                  </w:r>
                  <w:r>
                    <w:rPr>
                      <w:rFonts w:hint="eastAsia" w:ascii="宋体" w:hAnsi="宋体" w:eastAsia="宋体" w:cs="宋体"/>
                      <w:color w:val="000000"/>
                      <w:kern w:val="0"/>
                      <w:sz w:val="20"/>
                      <w:szCs w:val="20"/>
                      <w:lang w:val="en-US" w:eastAsia="zh-CN" w:bidi="ar"/>
                    </w:rPr>
                    <w:t xml:space="preserve">次日 </w:t>
                  </w:r>
                  <w:r>
                    <w:rPr>
                      <w:rFonts w:hint="default" w:ascii="Times New Roman" w:hAnsi="Times New Roman" w:eastAsia="宋体" w:cs="Times New Roman"/>
                      <w:color w:val="000000"/>
                      <w:kern w:val="0"/>
                      <w:sz w:val="20"/>
                      <w:szCs w:val="20"/>
                      <w:lang w:val="en-US" w:eastAsia="zh-CN" w:bidi="ar"/>
                    </w:rPr>
                    <w:t>02:00</w:t>
                  </w:r>
                </w:p>
              </w:tc>
              <w:tc>
                <w:tcPr>
                  <w:tcW w:w="672" w:type="pct"/>
                </w:tcPr>
                <w:p w14:paraId="6446C22C">
                  <w:pPr>
                    <w:pStyle w:val="83"/>
                    <w:numPr>
                      <w:ilvl w:val="-1"/>
                      <w:numId w:val="0"/>
                    </w:numPr>
                    <w:adjustRightInd w:val="0"/>
                    <w:snapToGrid w:val="0"/>
                    <w:spacing w:line="520" w:lineRule="exact"/>
                    <w:jc w:val="center"/>
                    <w:rPr>
                      <w:rFonts w:hint="default"/>
                      <w:sz w:val="24"/>
                      <w:vertAlign w:val="baseline"/>
                      <w:lang w:val="en-US" w:eastAsia="zh-CN"/>
                    </w:rPr>
                  </w:pPr>
                  <w:r>
                    <w:rPr>
                      <w:rFonts w:hint="eastAsia"/>
                      <w:sz w:val="24"/>
                      <w:vertAlign w:val="baseline"/>
                      <w:lang w:val="en-US" w:eastAsia="zh-CN"/>
                    </w:rPr>
                    <w:t>0.110</w:t>
                  </w:r>
                </w:p>
              </w:tc>
            </w:tr>
          </w:tbl>
          <w:p w14:paraId="0C80BA31">
            <w:pPr>
              <w:pStyle w:val="83"/>
              <w:numPr>
                <w:ilvl w:val="-1"/>
                <w:numId w:val="0"/>
              </w:numPr>
              <w:adjustRightInd w:val="0"/>
              <w:snapToGrid w:val="0"/>
              <w:spacing w:line="520" w:lineRule="exact"/>
              <w:ind w:firstLine="240" w:firstLineChars="100"/>
              <w:rPr>
                <w:rFonts w:hint="eastAsia"/>
                <w:sz w:val="24"/>
                <w:lang w:eastAsia="zh-CN"/>
              </w:rPr>
            </w:pPr>
            <w:r>
              <w:rPr>
                <w:rFonts w:hint="eastAsia"/>
                <w:sz w:val="24"/>
                <w:lang w:eastAsia="zh-CN"/>
              </w:rPr>
              <w:drawing>
                <wp:anchor distT="0" distB="0" distL="114935" distR="114935" simplePos="0" relativeHeight="251672576" behindDoc="0" locked="0" layoutInCell="1" allowOverlap="1">
                  <wp:simplePos x="0" y="0"/>
                  <wp:positionH relativeFrom="column">
                    <wp:posOffset>68580</wp:posOffset>
                  </wp:positionH>
                  <wp:positionV relativeFrom="paragraph">
                    <wp:posOffset>248920</wp:posOffset>
                  </wp:positionV>
                  <wp:extent cx="4991100" cy="3524885"/>
                  <wp:effectExtent l="0" t="0" r="7620" b="10795"/>
                  <wp:wrapNone/>
                  <wp:docPr id="19" name="图片 19" descr="8cede3403ab315e921ee958d3510a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cede3403ab315e921ee958d3510a26"/>
                          <pic:cNvPicPr>
                            <a:picLocks noChangeAspect="1"/>
                          </pic:cNvPicPr>
                        </pic:nvPicPr>
                        <pic:blipFill>
                          <a:blip r:embed="rId15"/>
                          <a:stretch>
                            <a:fillRect/>
                          </a:stretch>
                        </pic:blipFill>
                        <pic:spPr>
                          <a:xfrm>
                            <a:off x="0" y="0"/>
                            <a:ext cx="4991100" cy="3524885"/>
                          </a:xfrm>
                          <a:prstGeom prst="rect">
                            <a:avLst/>
                          </a:prstGeom>
                        </pic:spPr>
                      </pic:pic>
                    </a:graphicData>
                  </a:graphic>
                </wp:anchor>
              </w:drawing>
            </w:r>
          </w:p>
          <w:p w14:paraId="2297F0B9">
            <w:pPr>
              <w:pStyle w:val="83"/>
              <w:numPr>
                <w:ilvl w:val="-1"/>
                <w:numId w:val="0"/>
              </w:numPr>
              <w:adjustRightInd w:val="0"/>
              <w:snapToGrid w:val="0"/>
              <w:spacing w:line="520" w:lineRule="exact"/>
              <w:ind w:firstLine="240" w:firstLineChars="100"/>
              <w:rPr>
                <w:rFonts w:hint="eastAsia"/>
                <w:sz w:val="24"/>
                <w:lang w:eastAsia="zh-CN"/>
              </w:rPr>
            </w:pPr>
          </w:p>
          <w:p w14:paraId="28F97294">
            <w:pPr>
              <w:pStyle w:val="83"/>
              <w:numPr>
                <w:ilvl w:val="-1"/>
                <w:numId w:val="0"/>
              </w:numPr>
              <w:adjustRightInd w:val="0"/>
              <w:snapToGrid w:val="0"/>
              <w:spacing w:line="520" w:lineRule="exact"/>
              <w:ind w:firstLine="240" w:firstLineChars="100"/>
              <w:rPr>
                <w:rFonts w:hint="eastAsia"/>
                <w:sz w:val="24"/>
                <w:lang w:eastAsia="zh-CN"/>
              </w:rPr>
            </w:pPr>
          </w:p>
          <w:p w14:paraId="6E7BC0D9">
            <w:pPr>
              <w:pStyle w:val="83"/>
              <w:numPr>
                <w:ilvl w:val="-1"/>
                <w:numId w:val="0"/>
              </w:numPr>
              <w:adjustRightInd w:val="0"/>
              <w:snapToGrid w:val="0"/>
              <w:spacing w:line="520" w:lineRule="exact"/>
              <w:ind w:firstLine="240" w:firstLineChars="100"/>
              <w:rPr>
                <w:rFonts w:hint="eastAsia"/>
                <w:sz w:val="24"/>
                <w:lang w:eastAsia="zh-CN"/>
              </w:rPr>
            </w:pPr>
            <w:r>
              <w:rPr>
                <w:sz w:val="24"/>
              </w:rPr>
              <mc:AlternateContent>
                <mc:Choice Requires="wps">
                  <w:drawing>
                    <wp:anchor distT="0" distB="0" distL="114300" distR="114300" simplePos="0" relativeHeight="251680768" behindDoc="0" locked="0" layoutInCell="1" allowOverlap="1">
                      <wp:simplePos x="0" y="0"/>
                      <wp:positionH relativeFrom="column">
                        <wp:posOffset>1885315</wp:posOffset>
                      </wp:positionH>
                      <wp:positionV relativeFrom="paragraph">
                        <wp:posOffset>602615</wp:posOffset>
                      </wp:positionV>
                      <wp:extent cx="1500505" cy="569595"/>
                      <wp:effectExtent l="465455" t="0" r="0" b="0"/>
                      <wp:wrapNone/>
                      <wp:docPr id="28" name="文本框 28"/>
                      <wp:cNvGraphicFramePr/>
                      <a:graphic xmlns:a="http://schemas.openxmlformats.org/drawingml/2006/main">
                        <a:graphicData uri="http://schemas.microsoft.com/office/word/2010/wordprocessingShape">
                          <wps:wsp>
                            <wps:cNvSpPr txBox="1"/>
                            <wps:spPr>
                              <a:xfrm rot="17040000">
                                <a:off x="0" y="0"/>
                                <a:ext cx="1500505" cy="569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B7873">
                                  <w:pPr>
                                    <w:rPr>
                                      <w:rFonts w:hint="default" w:eastAsia="宋体"/>
                                      <w:color w:val="FF0000"/>
                                      <w:lang w:val="en-US" w:eastAsia="zh-CN"/>
                                    </w:rPr>
                                  </w:pPr>
                                  <w:r>
                                    <w:rPr>
                                      <w:rFonts w:hint="eastAsia" w:eastAsia="宋体"/>
                                      <w:color w:val="FF0000"/>
                                      <w:lang w:val="en-US" w:eastAsia="zh-CN"/>
                                    </w:rPr>
                                    <w:t>4300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8.45pt;margin-top:47.45pt;height:44.85pt;width:118.15pt;rotation:-4980736f;z-index:251680768;mso-width-relative:page;mso-height-relative:page;" filled="f" stroked="f" coordsize="21600,21600" o:gfxdata="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G41LaAAAACgEAAA8AAAAAAAAAAQAg&#10;AAAAIgAAAGRycy9kb3ducmV2LnhtbFBLAQIUABQAAAAIAIdO4kDmzcPgRQIAAHcEAAAOAAAAAAAA&#10;AAEAIAAAACkBAABkcnMvZTJvRG9jLnhtbFBLBQYAAAAABgAGAFkBAADgBQAAAAA=&#10;">
                      <v:fill on="f" focussize="0,0"/>
                      <v:stroke on="f" weight="0.5pt"/>
                      <v:imagedata o:title=""/>
                      <o:lock v:ext="edit" aspectratio="f"/>
                      <v:textbox>
                        <w:txbxContent>
                          <w:p w14:paraId="0BAB7873">
                            <w:pPr>
                              <w:rPr>
                                <w:rFonts w:hint="default" w:eastAsia="宋体"/>
                                <w:color w:val="FF0000"/>
                                <w:lang w:val="en-US" w:eastAsia="zh-CN"/>
                              </w:rPr>
                            </w:pPr>
                            <w:r>
                              <w:rPr>
                                <w:rFonts w:hint="eastAsia" w:eastAsia="宋体"/>
                                <w:color w:val="FF0000"/>
                                <w:lang w:val="en-US" w:eastAsia="zh-CN"/>
                              </w:rPr>
                              <w:t>4300</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975995</wp:posOffset>
                      </wp:positionH>
                      <wp:positionV relativeFrom="paragraph">
                        <wp:posOffset>570865</wp:posOffset>
                      </wp:positionV>
                      <wp:extent cx="1227455" cy="539750"/>
                      <wp:effectExtent l="344170" t="0" r="0" b="0"/>
                      <wp:wrapNone/>
                      <wp:docPr id="27" name="文本框 27"/>
                      <wp:cNvGraphicFramePr/>
                      <a:graphic xmlns:a="http://schemas.openxmlformats.org/drawingml/2006/main">
                        <a:graphicData uri="http://schemas.microsoft.com/office/word/2010/wordprocessingShape">
                          <wps:wsp>
                            <wps:cNvSpPr txBox="1"/>
                            <wps:spPr>
                              <a:xfrm rot="17040000">
                                <a:off x="2995930" y="6793865"/>
                                <a:ext cx="1227455" cy="539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0B9CA">
                                  <w:pPr>
                                    <w:rPr>
                                      <w:rFonts w:hint="default" w:eastAsia="宋体"/>
                                      <w:color w:val="FF0000"/>
                                      <w:lang w:val="en-US" w:eastAsia="zh-CN"/>
                                    </w:rPr>
                                  </w:pPr>
                                  <w:r>
                                    <w:rPr>
                                      <w:rFonts w:hint="eastAsia"/>
                                      <w:color w:val="FF0000"/>
                                      <w:lang w:val="en-US" w:eastAsia="zh-CN"/>
                                    </w:rPr>
                                    <w:t>3382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85pt;margin-top:44.95pt;height:42.5pt;width:96.65pt;rotation:-4980736f;z-index:251679744;mso-width-relative:page;mso-height-relative:page;" filled="f" stroked="f" coordsize="21600,21600" o:gfxdata="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TtNSNgAAAAKAQAA&#10;DwAAAAAAAAABACAAAAAiAAAAZHJzL2Rvd25yZXYueG1sUEsBAhQAFAAAAAgAh07iQJtPMlNSAgAA&#10;gwQAAA4AAAAAAAAAAQAgAAAAJwEAAGRycy9lMm9Eb2MueG1sUEsFBgAAAAAGAAYAWQEAAOsFAAAA&#10;AA==&#10;">
                      <v:fill on="f" focussize="0,0"/>
                      <v:stroke on="f" weight="0.5pt"/>
                      <v:imagedata o:title=""/>
                      <o:lock v:ext="edit" aspectratio="f"/>
                      <v:textbox>
                        <w:txbxContent>
                          <w:p w14:paraId="6E70B9CA">
                            <w:pPr>
                              <w:rPr>
                                <w:rFonts w:hint="default" w:eastAsia="宋体"/>
                                <w:color w:val="FF0000"/>
                                <w:lang w:val="en-US" w:eastAsia="zh-CN"/>
                              </w:rPr>
                            </w:pPr>
                            <w:r>
                              <w:rPr>
                                <w:rFonts w:hint="eastAsia"/>
                                <w:color w:val="FF0000"/>
                                <w:lang w:val="en-US" w:eastAsia="zh-CN"/>
                              </w:rPr>
                              <w:t>3382</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1901825</wp:posOffset>
                      </wp:positionH>
                      <wp:positionV relativeFrom="paragraph">
                        <wp:posOffset>250825</wp:posOffset>
                      </wp:positionV>
                      <wp:extent cx="548640" cy="1653540"/>
                      <wp:effectExtent l="19685" t="0" r="26035" b="7620"/>
                      <wp:wrapNone/>
                      <wp:docPr id="26" name="直接箭头连接符 26"/>
                      <wp:cNvGraphicFramePr/>
                      <a:graphic xmlns:a="http://schemas.openxmlformats.org/drawingml/2006/main">
                        <a:graphicData uri="http://schemas.microsoft.com/office/word/2010/wordprocessingShape">
                          <wps:wsp>
                            <wps:cNvCnPr/>
                            <wps:spPr>
                              <a:xfrm>
                                <a:off x="3323590" y="6170295"/>
                                <a:ext cx="548640" cy="165354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75pt;margin-top:19.75pt;height:130.2pt;width:43.2pt;z-index:251678720;mso-width-relative:page;mso-height-relative:page;" filled="f" stroked="t" coordsize="21600,21600" o:gfxdata="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nC7qdoAAAAKAQAADwAAAAAAAAABACAAAAAiAAAAZHJzL2Rvd25yZXYueG1sUEsBAhQAFAAAAAgA&#10;h07iQAIzJf4jAgAACgQAAA4AAAAAAAAAAQAgAAAAKQEAAGRycy9lMm9Eb2MueG1sUEsFBgAAAAAG&#10;AAYAWQEAAL4FAAAAAA==&#10;">
                      <v:fill on="f" focussize="0,0"/>
                      <v:stroke weight="0.5pt" color="#5B9BD5 [3204]" miterlimit="8" joinstyle="miter" startarrow="open" endarrow="open"/>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1563370</wp:posOffset>
                      </wp:positionH>
                      <wp:positionV relativeFrom="paragraph">
                        <wp:posOffset>266065</wp:posOffset>
                      </wp:positionV>
                      <wp:extent cx="323215" cy="1311275"/>
                      <wp:effectExtent l="27305" t="0" r="30480" b="14605"/>
                      <wp:wrapNone/>
                      <wp:docPr id="25" name="直接箭头连接符 25"/>
                      <wp:cNvGraphicFramePr/>
                      <a:graphic xmlns:a="http://schemas.openxmlformats.org/drawingml/2006/main">
                        <a:graphicData uri="http://schemas.microsoft.com/office/word/2010/wordprocessingShape">
                          <wps:wsp>
                            <wps:cNvCnPr>
                              <a:endCxn id="22" idx="1"/>
                            </wps:cNvCnPr>
                            <wps:spPr>
                              <a:xfrm flipH="1">
                                <a:off x="2985135" y="6185535"/>
                                <a:ext cx="323215" cy="13112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23.1pt;margin-top:20.95pt;height:103.25pt;width:25.45pt;z-index:251677696;mso-width-relative:page;mso-height-relative:page;" filled="f" stroked="t" coordsize="21600,21600" o:gfxdata="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3Ku3D2QAAAAoBAAAPAAAAAAAAAAEAIAAAACIAAABkcnMvZG93&#10;bnJldi54bWxQSwECFAAUAAAACACHTuJAYWkXwjgCAAA8BAAADgAAAAAAAAABACAAAAAoAQAAZHJz&#10;L2Uyb0RvYy54bWxQSwUGAAAAAAYABgBZAQAA0gUAAAAA&#10;">
                      <v:fill on="f" focussize="0,0"/>
                      <v:stroke weight="0.5pt" color="#5B9BD5 [3204]" miterlimit="8" joinstyle="miter" startarrow="open" endarrow="open"/>
                      <v:imagedata o:title=""/>
                      <o:lock v:ext="edit" aspectratio="f"/>
                    </v:shape>
                  </w:pict>
                </mc:Fallback>
              </mc:AlternateContent>
            </w:r>
          </w:p>
          <w:p w14:paraId="2E9AAF0F">
            <w:pPr>
              <w:pStyle w:val="83"/>
              <w:numPr>
                <w:ilvl w:val="-1"/>
                <w:numId w:val="0"/>
              </w:numPr>
              <w:adjustRightInd w:val="0"/>
              <w:snapToGrid w:val="0"/>
              <w:spacing w:line="520" w:lineRule="exact"/>
              <w:ind w:firstLine="240" w:firstLineChars="100"/>
              <w:rPr>
                <w:rFonts w:hint="eastAsia"/>
                <w:sz w:val="24"/>
                <w:lang w:eastAsia="zh-CN"/>
              </w:rPr>
            </w:pPr>
          </w:p>
          <w:p w14:paraId="05906F5A">
            <w:pPr>
              <w:pStyle w:val="83"/>
              <w:numPr>
                <w:ilvl w:val="-1"/>
                <w:numId w:val="0"/>
              </w:numPr>
              <w:adjustRightInd w:val="0"/>
              <w:snapToGrid w:val="0"/>
              <w:spacing w:line="520" w:lineRule="exact"/>
              <w:ind w:firstLine="240" w:firstLineChars="100"/>
              <w:rPr>
                <w:rFonts w:hint="eastAsia"/>
                <w:sz w:val="24"/>
                <w:lang w:eastAsia="zh-CN"/>
              </w:rPr>
            </w:pPr>
          </w:p>
          <w:p w14:paraId="426C20C4">
            <w:pPr>
              <w:pStyle w:val="83"/>
              <w:numPr>
                <w:ilvl w:val="-1"/>
                <w:numId w:val="0"/>
              </w:numPr>
              <w:adjustRightInd w:val="0"/>
              <w:snapToGrid w:val="0"/>
              <w:spacing w:line="520" w:lineRule="exact"/>
              <w:ind w:firstLine="240" w:firstLineChars="100"/>
              <w:rPr>
                <w:rFonts w:hint="eastAsia"/>
                <w:sz w:val="24"/>
                <w:lang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1482725</wp:posOffset>
                      </wp:positionH>
                      <wp:positionV relativeFrom="paragraph">
                        <wp:posOffset>303530</wp:posOffset>
                      </wp:positionV>
                      <wp:extent cx="488315" cy="321310"/>
                      <wp:effectExtent l="0" t="0" r="0" b="0"/>
                      <wp:wrapNone/>
                      <wp:docPr id="20" name="文本框 20"/>
                      <wp:cNvGraphicFramePr/>
                      <a:graphic xmlns:a="http://schemas.openxmlformats.org/drawingml/2006/main">
                        <a:graphicData uri="http://schemas.microsoft.com/office/word/2010/wordprocessingShape">
                          <wps:wsp>
                            <wps:cNvSpPr txBox="1"/>
                            <wps:spPr>
                              <a:xfrm>
                                <a:off x="3041650" y="7518400"/>
                                <a:ext cx="488315"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171D9">
                                  <w:pPr>
                                    <w:rPr>
                                      <w:rFonts w:hint="default" w:eastAsia="宋体"/>
                                      <w:color w:val="FF0000"/>
                                      <w:lang w:val="en-US" w:eastAsia="zh-CN"/>
                                    </w:rPr>
                                  </w:pPr>
                                  <w:r>
                                    <w:rPr>
                                      <w:rFonts w:hint="eastAsia"/>
                                      <w:color w:val="FF0000"/>
                                      <w:lang w:val="en-US" w:eastAsia="zh-CN"/>
                                    </w:rPr>
                                    <w:t>G1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75pt;margin-top:23.9pt;height:25.3pt;width:38.45pt;z-index:251673600;mso-width-relative:page;mso-height-relative:page;" filled="f" stroked="f" coordsize="21600,21600" o:gfxdata="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bzbgNoAAAAJAQAADwAAAAAAAAAB&#10;ACAAAAAiAAAAZHJzL2Rvd25yZXYueG1sUEsBAhQAFAAAAAgAh07iQGlJ58JHAgAAcwQAAA4AAAAA&#10;AAAAAQAgAAAAKQEAAGRycy9lMm9Eb2MueG1sUEsFBgAAAAAGAAYAWQEAAOIFAAAAAA==&#10;">
                      <v:fill on="f" focussize="0,0"/>
                      <v:stroke on="f" weight="0.5pt"/>
                      <v:imagedata o:title=""/>
                      <o:lock v:ext="edit" aspectratio="f"/>
                      <v:textbox>
                        <w:txbxContent>
                          <w:p w14:paraId="56D171D9">
                            <w:pPr>
                              <w:rPr>
                                <w:rFonts w:hint="default" w:eastAsia="宋体"/>
                                <w:color w:val="FF0000"/>
                                <w:lang w:val="en-US" w:eastAsia="zh-CN"/>
                              </w:rPr>
                            </w:pPr>
                            <w:r>
                              <w:rPr>
                                <w:rFonts w:hint="eastAsia"/>
                                <w:color w:val="FF0000"/>
                                <w:lang w:val="en-US" w:eastAsia="zh-CN"/>
                              </w:rPr>
                              <w:t>G1</w:t>
                            </w:r>
                          </w:p>
                        </w:txbxContent>
                      </v:textbox>
                    </v:shape>
                  </w:pict>
                </mc:Fallback>
              </mc:AlternateContent>
            </w:r>
          </w:p>
          <w:p w14:paraId="24D804BA">
            <w:pPr>
              <w:pStyle w:val="83"/>
              <w:numPr>
                <w:ilvl w:val="-1"/>
                <w:numId w:val="0"/>
              </w:numPr>
              <w:adjustRightInd w:val="0"/>
              <w:snapToGrid w:val="0"/>
              <w:spacing w:line="520" w:lineRule="exact"/>
              <w:ind w:firstLine="240" w:firstLineChars="100"/>
              <w:rPr>
                <w:rFonts w:hint="eastAsia"/>
                <w:sz w:val="24"/>
                <w:lang w:eastAsia="zh-CN"/>
              </w:rPr>
            </w:pPr>
            <w:r>
              <w:rPr>
                <w:sz w:val="24"/>
              </w:rPr>
              <mc:AlternateContent>
                <mc:Choice Requires="wps">
                  <w:drawing>
                    <wp:anchor distT="0" distB="0" distL="114300" distR="114300" simplePos="0" relativeHeight="251674624" behindDoc="0" locked="0" layoutInCell="1" allowOverlap="1">
                      <wp:simplePos x="0" y="0"/>
                      <wp:positionH relativeFrom="column">
                        <wp:posOffset>1513205</wp:posOffset>
                      </wp:positionH>
                      <wp:positionV relativeFrom="paragraph">
                        <wp:posOffset>156845</wp:posOffset>
                      </wp:positionV>
                      <wp:extent cx="201295" cy="198755"/>
                      <wp:effectExtent l="10160" t="13970" r="17145" b="15875"/>
                      <wp:wrapNone/>
                      <wp:docPr id="22" name="等腰三角形 22"/>
                      <wp:cNvGraphicFramePr/>
                      <a:graphic xmlns:a="http://schemas.openxmlformats.org/drawingml/2006/main">
                        <a:graphicData uri="http://schemas.microsoft.com/office/word/2010/wordprocessingShape">
                          <wps:wsp>
                            <wps:cNvSpPr/>
                            <wps:spPr>
                              <a:xfrm>
                                <a:off x="3079750" y="7511415"/>
                                <a:ext cx="201295" cy="19875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19.15pt;margin-top:12.35pt;height:15.65pt;width:15.85pt;z-index:251674624;v-text-anchor:middle;mso-width-relative:page;mso-height-relative:page;" fillcolor="#5B9BD5 [3204]" filled="t" stroked="t" coordsize="21600,21600" o:gfxdata="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ZCKCSNkAAAAJAQAADwAAAAAAAAABACAAAAAiAAAAZHJzL2Rvd25yZXYu&#10;eG1sUEsBAhQAFAAAAAgAh07iQAWBn6elAgAALwUAAA4AAAAAAAAAAQAgAAAAKAEAAGRycy9lMm9E&#10;b2MueG1sUEsFBgAAAAAGAAYAWQEAAD8GAAAAAA==&#10;" adj="10800">
                      <v:fill on="t" focussize="0,0"/>
                      <v:stroke weight="1pt" color="#41719C [3204]" miterlimit="8" joinstyle="miter"/>
                      <v:imagedata o:title=""/>
                      <o:lock v:ext="edit" aspectratio="f"/>
                    </v:shape>
                  </w:pict>
                </mc:Fallback>
              </mc:AlternateContent>
            </w:r>
          </w:p>
          <w:p w14:paraId="6E2C9205">
            <w:pPr>
              <w:pStyle w:val="83"/>
              <w:numPr>
                <w:ilvl w:val="-1"/>
                <w:numId w:val="0"/>
              </w:numPr>
              <w:adjustRightInd w:val="0"/>
              <w:snapToGrid w:val="0"/>
              <w:spacing w:line="520" w:lineRule="exact"/>
              <w:ind w:firstLine="240" w:firstLineChars="100"/>
              <w:rPr>
                <w:rFonts w:hint="eastAsia"/>
                <w:sz w:val="24"/>
                <w:lang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2298065</wp:posOffset>
                      </wp:positionH>
                      <wp:positionV relativeFrom="paragraph">
                        <wp:posOffset>24130</wp:posOffset>
                      </wp:positionV>
                      <wp:extent cx="549275" cy="28257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54927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6E80C">
                                  <w:pPr>
                                    <w:rPr>
                                      <w:rFonts w:hint="default" w:eastAsia="宋体"/>
                                      <w:color w:val="FF0000"/>
                                      <w:lang w:val="en-US" w:eastAsia="zh-CN"/>
                                    </w:rPr>
                                  </w:pPr>
                                  <w:r>
                                    <w:rPr>
                                      <w:rFonts w:hint="eastAsia" w:eastAsia="宋体"/>
                                      <w:color w:val="FF0000"/>
                                      <w:lang w:val="en-US" w:eastAsia="zh-CN"/>
                                    </w:rPr>
                                    <w:t>G2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95pt;margin-top:1.9pt;height:22.25pt;width:43.25pt;z-index:251676672;mso-width-relative:page;mso-height-relative:page;" filled="f" stroked="f" coordsize="21600,21600" o:gfxdata="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f8UJ9kAAAAIAQAADwAAAAAAAAABACAAAAAiAAAAZHJz&#10;L2Rvd25yZXYueG1sUEsBAhQAFAAAAAgAh07iQMD6gXc8AgAAZwQAAA4AAAAAAAAAAQAgAAAAKAEA&#10;AGRycy9lMm9Eb2MueG1sUEsFBgAAAAAGAAYAWQEAANYFAAAAAA==&#10;">
                      <v:fill on="f" focussize="0,0"/>
                      <v:stroke on="f" weight="0.5pt"/>
                      <v:imagedata o:title=""/>
                      <o:lock v:ext="edit" aspectratio="f"/>
                      <v:textbox>
                        <w:txbxContent>
                          <w:p w14:paraId="6686E80C">
                            <w:pPr>
                              <w:rPr>
                                <w:rFonts w:hint="default" w:eastAsia="宋体"/>
                                <w:color w:val="FF0000"/>
                                <w:lang w:val="en-US" w:eastAsia="zh-CN"/>
                              </w:rPr>
                            </w:pPr>
                            <w:r>
                              <w:rPr>
                                <w:rFonts w:hint="eastAsia" w:eastAsia="宋体"/>
                                <w:color w:val="FF0000"/>
                                <w:lang w:val="en-US" w:eastAsia="zh-CN"/>
                              </w:rPr>
                              <w:t>G2</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2359025</wp:posOffset>
                      </wp:positionH>
                      <wp:positionV relativeFrom="paragraph">
                        <wp:posOffset>299085</wp:posOffset>
                      </wp:positionV>
                      <wp:extent cx="201295" cy="198755"/>
                      <wp:effectExtent l="10160" t="13970" r="17145" b="15875"/>
                      <wp:wrapNone/>
                      <wp:docPr id="23" name="等腰三角形 23"/>
                      <wp:cNvGraphicFramePr/>
                      <a:graphic xmlns:a="http://schemas.openxmlformats.org/drawingml/2006/main">
                        <a:graphicData uri="http://schemas.microsoft.com/office/word/2010/wordprocessingShape">
                          <wps:wsp>
                            <wps:cNvSpPr/>
                            <wps:spPr>
                              <a:xfrm>
                                <a:off x="0" y="0"/>
                                <a:ext cx="201295" cy="19875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85.75pt;margin-top:23.55pt;height:15.65pt;width:15.85pt;z-index:251675648;v-text-anchor:middle;mso-width-relative:page;mso-height-relative:page;" fillcolor="#5B9BD5 [3204]" filled="t" stroked="t" coordsize="21600,21600" o:gfxdata="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lU6/7ZAAAACQEAAA8AAAAAAAAAAQAgAAAAIgAAAGRycy9kb3ducmV2LnhtbFBLAQIUABQAAAAI&#10;AIdO4kA+nGNSlwIAACMFAAAOAAAAAAAAAAEAIAAAACgBAABkcnMvZTJvRG9jLnhtbFBLBQYAAAAA&#10;BgAGAFkBAAAxBgAAAAA=&#10;" adj="10800">
                      <v:fill on="t" focussize="0,0"/>
                      <v:stroke weight="1pt" color="#41719C [3204]" miterlimit="8" joinstyle="miter"/>
                      <v:imagedata o:title=""/>
                      <o:lock v:ext="edit" aspectratio="f"/>
                    </v:shape>
                  </w:pict>
                </mc:Fallback>
              </mc:AlternateContent>
            </w:r>
          </w:p>
          <w:p w14:paraId="3ABFB816">
            <w:pPr>
              <w:pStyle w:val="83"/>
              <w:numPr>
                <w:ilvl w:val="-1"/>
                <w:numId w:val="0"/>
              </w:numPr>
              <w:adjustRightInd w:val="0"/>
              <w:snapToGrid w:val="0"/>
              <w:spacing w:line="520" w:lineRule="exact"/>
              <w:ind w:firstLine="240" w:firstLineChars="100"/>
              <w:rPr>
                <w:rFonts w:hint="eastAsia"/>
                <w:sz w:val="24"/>
                <w:lang w:eastAsia="zh-CN"/>
              </w:rPr>
            </w:pPr>
          </w:p>
          <w:p w14:paraId="03FB8EFA">
            <w:pPr>
              <w:pStyle w:val="83"/>
              <w:numPr>
                <w:ilvl w:val="-1"/>
                <w:numId w:val="0"/>
              </w:numPr>
              <w:adjustRightInd w:val="0"/>
              <w:snapToGrid w:val="0"/>
              <w:spacing w:line="520" w:lineRule="exact"/>
              <w:ind w:firstLine="240" w:firstLineChars="100"/>
              <w:rPr>
                <w:rFonts w:hint="eastAsia"/>
                <w:sz w:val="24"/>
                <w:lang w:eastAsia="zh-CN"/>
              </w:rPr>
            </w:pPr>
          </w:p>
          <w:p w14:paraId="55F2EF4F">
            <w:pPr>
              <w:widowControl/>
              <w:jc w:val="center"/>
              <w:rPr>
                <w:rFonts w:hint="eastAsia" w:ascii="宋体" w:hAnsi="宋体" w:eastAsia="宋体" w:cs="宋体"/>
                <w:b/>
                <w:bCs/>
                <w:color w:val="000000"/>
                <w:kern w:val="0"/>
                <w:sz w:val="24"/>
                <w:lang w:eastAsia="zh-CN" w:bidi="ar"/>
              </w:rPr>
            </w:pPr>
          </w:p>
          <w:p w14:paraId="21EAA48F">
            <w:pPr>
              <w:widowControl/>
              <w:jc w:val="center"/>
              <w:rPr>
                <w:rFonts w:hint="eastAsia" w:ascii="宋体" w:hAnsi="宋体" w:eastAsia="宋体" w:cs="宋体"/>
                <w:b/>
                <w:bCs/>
                <w:color w:val="000000"/>
                <w:kern w:val="0"/>
                <w:sz w:val="24"/>
                <w:lang w:eastAsia="zh-CN" w:bidi="ar"/>
              </w:rPr>
            </w:pPr>
            <w:r>
              <w:rPr>
                <w:rFonts w:hint="eastAsia" w:ascii="宋体" w:hAnsi="宋体" w:eastAsia="宋体" w:cs="宋体"/>
                <w:b/>
                <w:bCs/>
                <w:color w:val="000000"/>
                <w:kern w:val="0"/>
                <w:sz w:val="24"/>
                <w:lang w:val="en-US" w:eastAsia="zh-CN" w:bidi="ar"/>
              </w:rPr>
              <w:t>图</w:t>
            </w:r>
            <w:r>
              <w:rPr>
                <w:rFonts w:hint="eastAsia" w:ascii="宋体" w:hAnsi="宋体" w:eastAsia="宋体" w:cs="宋体"/>
                <w:b/>
                <w:bCs/>
                <w:color w:val="000000"/>
                <w:kern w:val="0"/>
                <w:sz w:val="24"/>
                <w:lang w:eastAsia="zh-CN" w:bidi="ar"/>
              </w:rPr>
              <w:t>3-1</w:t>
            </w:r>
            <w:r>
              <w:rPr>
                <w:rFonts w:hint="eastAsia" w:ascii="宋体" w:hAnsi="宋体" w:eastAsia="宋体" w:cs="宋体"/>
                <w:b/>
                <w:bCs/>
                <w:color w:val="000000"/>
                <w:kern w:val="0"/>
                <w:sz w:val="24"/>
                <w:lang w:val="en-US" w:eastAsia="zh-CN" w:bidi="ar"/>
              </w:rPr>
              <w:t xml:space="preserve">  </w:t>
            </w:r>
            <w:r>
              <w:rPr>
                <w:rFonts w:hint="eastAsia" w:ascii="宋体" w:hAnsi="宋体" w:eastAsia="宋体" w:cs="宋体"/>
                <w:b/>
                <w:bCs/>
                <w:color w:val="000000"/>
                <w:kern w:val="0"/>
                <w:sz w:val="24"/>
                <w:lang w:eastAsia="zh-CN" w:bidi="ar"/>
              </w:rPr>
              <w:t>监测点位置图</w:t>
            </w:r>
          </w:p>
          <w:p w14:paraId="41FB5124">
            <w:pPr>
              <w:keepNext w:val="0"/>
              <w:keepLines w:val="0"/>
              <w:widowControl/>
              <w:suppressLineNumbers w:val="0"/>
              <w:ind w:firstLine="960" w:firstLineChars="400"/>
              <w:jc w:val="left"/>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根据上述说明，各监测点TSP日均浓度满足《环境空气质量标准》（GB3095-2012）及其修改单中的二级标准要求（300µg/m3）。</w:t>
            </w:r>
          </w:p>
          <w:p w14:paraId="3B6B5964">
            <w:pPr>
              <w:pStyle w:val="83"/>
              <w:numPr>
                <w:ilvl w:val="-1"/>
                <w:numId w:val="0"/>
              </w:numPr>
              <w:adjustRightInd w:val="0"/>
              <w:snapToGrid w:val="0"/>
              <w:spacing w:line="520" w:lineRule="exact"/>
              <w:ind w:firstLine="0" w:firstLineChars="0"/>
              <w:rPr>
                <w:rFonts w:hint="eastAsia"/>
                <w:sz w:val="24"/>
                <w:lang w:eastAsia="zh-CN"/>
              </w:rPr>
            </w:pPr>
          </w:p>
          <w:p w14:paraId="43EB6AC7">
            <w:pPr>
              <w:numPr>
                <w:ilvl w:val="0"/>
                <w:numId w:val="3"/>
              </w:numPr>
              <w:spacing w:line="240" w:lineRule="auto"/>
              <w:ind w:firstLine="0" w:firstLineChars="0"/>
              <w:rPr>
                <w:rFonts w:ascii="宋体" w:hAnsi="宋体" w:cs="宋体"/>
                <w:b/>
                <w:color w:val="auto"/>
                <w:sz w:val="24"/>
              </w:rPr>
            </w:pPr>
            <w:r>
              <w:rPr>
                <w:rFonts w:ascii="宋体" w:hAnsi="宋体" w:cs="宋体"/>
                <w:b/>
                <w:color w:val="auto"/>
                <w:sz w:val="24"/>
              </w:rPr>
              <w:t>地表水环境质量</w:t>
            </w:r>
          </w:p>
          <w:p w14:paraId="6A1160F2">
            <w:pPr>
              <w:numPr>
                <w:ilvl w:val="-1"/>
                <w:numId w:val="0"/>
              </w:numPr>
              <w:spacing w:line="240" w:lineRule="auto"/>
              <w:ind w:firstLine="0" w:firstLineChars="0"/>
              <w:rPr>
                <w:rFonts w:hint="eastAsia" w:ascii="Times New Roman" w:hAnsi="Times New Roman" w:cs="Times New Roman"/>
                <w:b w:val="0"/>
                <w:color w:val="auto"/>
                <w:sz w:val="24"/>
              </w:rPr>
            </w:pPr>
          </w:p>
          <w:p w14:paraId="14CD78CF">
            <w:pPr>
              <w:spacing w:line="360" w:lineRule="auto"/>
              <w:ind w:firstLine="480" w:firstLineChars="200"/>
              <w:jc w:val="left"/>
              <w:rPr>
                <w:color w:val="auto"/>
                <w:sz w:val="24"/>
              </w:rPr>
            </w:pPr>
            <w:r>
              <w:rPr>
                <w:rFonts w:hint="eastAsia"/>
                <w:color w:val="auto"/>
                <w:sz w:val="24"/>
              </w:rPr>
              <w:t>根据</w:t>
            </w:r>
            <w:r>
              <w:rPr>
                <w:color w:val="auto"/>
                <w:sz w:val="24"/>
              </w:rPr>
              <w:t>蚌埠市环境质量月报（2022年4月），淮干入境断面（蚌埠闸上断面）、淮干出境断面（沫河口断面）水质情况见下表：</w:t>
            </w:r>
          </w:p>
          <w:p w14:paraId="23CB626F">
            <w:pPr>
              <w:spacing w:line="240" w:lineRule="auto"/>
              <w:ind w:firstLine="0" w:firstLineChars="0"/>
              <w:jc w:val="center"/>
              <w:rPr>
                <w:color w:val="auto"/>
                <w:sz w:val="24"/>
              </w:rPr>
            </w:pPr>
            <w:r>
              <w:rPr>
                <w:b/>
                <w:color w:val="auto"/>
                <w:sz w:val="24"/>
              </w:rPr>
              <w:t>表3-</w:t>
            </w:r>
            <w:r>
              <w:rPr>
                <w:rFonts w:hint="eastAsia"/>
                <w:b/>
                <w:color w:val="auto"/>
                <w:sz w:val="24"/>
                <w:lang w:val="en-US" w:eastAsia="zh-CN"/>
              </w:rPr>
              <w:t>2</w:t>
            </w:r>
            <w:r>
              <w:rPr>
                <w:b/>
                <w:color w:val="auto"/>
                <w:sz w:val="24"/>
              </w:rPr>
              <w:t xml:space="preserve">  2022年4月淮河蚌埠段水质情况一览表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476"/>
              <w:gridCol w:w="1476"/>
              <w:gridCol w:w="1266"/>
              <w:gridCol w:w="1056"/>
              <w:gridCol w:w="1056"/>
            </w:tblGrid>
            <w:tr w14:paraId="587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3" w:type="pct"/>
                  <w:tcBorders>
                    <w:top w:val="single" w:color="auto" w:sz="4" w:space="0"/>
                    <w:left w:val="single" w:color="auto" w:sz="4" w:space="0"/>
                    <w:bottom w:val="single" w:color="auto" w:sz="4" w:space="0"/>
                    <w:right w:val="single" w:color="auto" w:sz="4" w:space="0"/>
                  </w:tcBorders>
                  <w:noWrap/>
                  <w:vAlign w:val="center"/>
                </w:tcPr>
                <w:p w14:paraId="04BB6330">
                  <w:pPr>
                    <w:snapToGrid/>
                    <w:spacing w:line="240" w:lineRule="auto"/>
                    <w:jc w:val="center"/>
                    <w:rPr>
                      <w:color w:val="auto"/>
                      <w:kern w:val="28"/>
                      <w:szCs w:val="21"/>
                    </w:rPr>
                  </w:pPr>
                  <w:r>
                    <w:rPr>
                      <w:color w:val="auto"/>
                      <w:kern w:val="28"/>
                      <w:szCs w:val="21"/>
                    </w:rPr>
                    <w:t>断面名称</w:t>
                  </w:r>
                </w:p>
              </w:tc>
              <w:tc>
                <w:tcPr>
                  <w:tcW w:w="855" w:type="pct"/>
                  <w:tcBorders>
                    <w:top w:val="single" w:color="auto" w:sz="4" w:space="0"/>
                    <w:left w:val="single" w:color="auto" w:sz="4" w:space="0"/>
                    <w:bottom w:val="single" w:color="auto" w:sz="4" w:space="0"/>
                    <w:right w:val="single" w:color="auto" w:sz="4" w:space="0"/>
                  </w:tcBorders>
                  <w:noWrap/>
                  <w:vAlign w:val="center"/>
                </w:tcPr>
                <w:p w14:paraId="7EA0EB3D">
                  <w:pPr>
                    <w:spacing w:line="240" w:lineRule="auto"/>
                    <w:jc w:val="center"/>
                    <w:rPr>
                      <w:color w:val="auto"/>
                      <w:kern w:val="28"/>
                      <w:szCs w:val="21"/>
                    </w:rPr>
                  </w:pPr>
                  <w:r>
                    <w:rPr>
                      <w:color w:val="auto"/>
                      <w:kern w:val="28"/>
                      <w:szCs w:val="21"/>
                    </w:rPr>
                    <w:t>环境功能类别</w:t>
                  </w:r>
                </w:p>
              </w:tc>
              <w:tc>
                <w:tcPr>
                  <w:tcW w:w="855" w:type="pct"/>
                  <w:tcBorders>
                    <w:top w:val="single" w:color="auto" w:sz="4" w:space="0"/>
                    <w:left w:val="single" w:color="auto" w:sz="4" w:space="0"/>
                    <w:bottom w:val="single" w:color="auto" w:sz="4" w:space="0"/>
                    <w:right w:val="single" w:color="auto" w:sz="4" w:space="0"/>
                  </w:tcBorders>
                  <w:noWrap/>
                  <w:vAlign w:val="center"/>
                </w:tcPr>
                <w:p w14:paraId="19D534AD">
                  <w:pPr>
                    <w:spacing w:line="240" w:lineRule="auto"/>
                    <w:jc w:val="center"/>
                    <w:rPr>
                      <w:color w:val="auto"/>
                      <w:kern w:val="28"/>
                      <w:szCs w:val="21"/>
                    </w:rPr>
                  </w:pPr>
                  <w:r>
                    <w:rPr>
                      <w:color w:val="auto"/>
                      <w:kern w:val="28"/>
                      <w:szCs w:val="21"/>
                    </w:rPr>
                    <w:t>实际水质类别</w:t>
                  </w:r>
                </w:p>
              </w:tc>
              <w:tc>
                <w:tcPr>
                  <w:tcW w:w="733" w:type="pct"/>
                  <w:tcBorders>
                    <w:top w:val="single" w:color="auto" w:sz="4" w:space="0"/>
                    <w:left w:val="single" w:color="auto" w:sz="4" w:space="0"/>
                    <w:bottom w:val="single" w:color="auto" w:sz="4" w:space="0"/>
                    <w:right w:val="single" w:color="auto" w:sz="4" w:space="0"/>
                  </w:tcBorders>
                  <w:noWrap/>
                  <w:vAlign w:val="center"/>
                </w:tcPr>
                <w:p w14:paraId="33807929">
                  <w:pPr>
                    <w:spacing w:line="240" w:lineRule="auto"/>
                    <w:jc w:val="center"/>
                    <w:rPr>
                      <w:color w:val="auto"/>
                      <w:kern w:val="28"/>
                      <w:szCs w:val="21"/>
                    </w:rPr>
                  </w:pPr>
                  <w:r>
                    <w:rPr>
                      <w:color w:val="auto"/>
                      <w:kern w:val="28"/>
                      <w:szCs w:val="21"/>
                    </w:rPr>
                    <w:t>超标污染物</w:t>
                  </w:r>
                </w:p>
              </w:tc>
              <w:tc>
                <w:tcPr>
                  <w:tcW w:w="716" w:type="pct"/>
                  <w:tcBorders>
                    <w:top w:val="single" w:color="auto" w:sz="4" w:space="0"/>
                    <w:left w:val="single" w:color="auto" w:sz="4" w:space="0"/>
                    <w:bottom w:val="single" w:color="auto" w:sz="4" w:space="0"/>
                    <w:right w:val="single" w:color="auto" w:sz="4" w:space="0"/>
                  </w:tcBorders>
                  <w:noWrap/>
                  <w:vAlign w:val="center"/>
                </w:tcPr>
                <w:p w14:paraId="0FC9B9BC">
                  <w:pPr>
                    <w:snapToGrid/>
                    <w:spacing w:line="240" w:lineRule="auto"/>
                    <w:jc w:val="center"/>
                    <w:rPr>
                      <w:color w:val="auto"/>
                      <w:kern w:val="28"/>
                      <w:szCs w:val="21"/>
                    </w:rPr>
                  </w:pPr>
                  <w:r>
                    <w:rPr>
                      <w:color w:val="auto"/>
                      <w:kern w:val="28"/>
                      <w:szCs w:val="21"/>
                    </w:rPr>
                    <w:t>超标倍数</w:t>
                  </w:r>
                </w:p>
              </w:tc>
              <w:tc>
                <w:tcPr>
                  <w:tcW w:w="627" w:type="pct"/>
                  <w:tcBorders>
                    <w:top w:val="single" w:color="auto" w:sz="4" w:space="0"/>
                    <w:left w:val="single" w:color="auto" w:sz="4" w:space="0"/>
                    <w:bottom w:val="single" w:color="auto" w:sz="4" w:space="0"/>
                    <w:right w:val="single" w:color="auto" w:sz="4" w:space="0"/>
                  </w:tcBorders>
                  <w:noWrap/>
                  <w:vAlign w:val="center"/>
                </w:tcPr>
                <w:p w14:paraId="47097269">
                  <w:pPr>
                    <w:jc w:val="center"/>
                    <w:rPr>
                      <w:color w:val="auto"/>
                      <w:szCs w:val="21"/>
                    </w:rPr>
                  </w:pPr>
                  <w:r>
                    <w:rPr>
                      <w:color w:val="auto"/>
                      <w:szCs w:val="21"/>
                    </w:rPr>
                    <w:t>污染程度</w:t>
                  </w:r>
                </w:p>
              </w:tc>
            </w:tr>
            <w:tr w14:paraId="2D79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213" w:type="pct"/>
                  <w:tcBorders>
                    <w:top w:val="single" w:color="auto" w:sz="4" w:space="0"/>
                    <w:left w:val="single" w:color="auto" w:sz="4" w:space="0"/>
                    <w:bottom w:val="single" w:color="auto" w:sz="4" w:space="0"/>
                    <w:right w:val="single" w:color="auto" w:sz="4" w:space="0"/>
                  </w:tcBorders>
                  <w:noWrap/>
                  <w:vAlign w:val="center"/>
                </w:tcPr>
                <w:p w14:paraId="5AEDA208">
                  <w:pPr>
                    <w:snapToGrid/>
                    <w:spacing w:line="240" w:lineRule="auto"/>
                    <w:jc w:val="center"/>
                    <w:rPr>
                      <w:color w:val="auto"/>
                      <w:kern w:val="28"/>
                      <w:szCs w:val="21"/>
                    </w:rPr>
                  </w:pPr>
                  <w:r>
                    <w:rPr>
                      <w:color w:val="auto"/>
                      <w:kern w:val="28"/>
                      <w:szCs w:val="21"/>
                    </w:rPr>
                    <w:t>蚌埠闸上断面</w:t>
                  </w:r>
                </w:p>
              </w:tc>
              <w:tc>
                <w:tcPr>
                  <w:tcW w:w="855" w:type="pct"/>
                  <w:tcBorders>
                    <w:top w:val="single" w:color="auto" w:sz="4" w:space="0"/>
                    <w:left w:val="single" w:color="auto" w:sz="4" w:space="0"/>
                    <w:bottom w:val="single" w:color="auto" w:sz="4" w:space="0"/>
                    <w:right w:val="single" w:color="auto" w:sz="4" w:space="0"/>
                  </w:tcBorders>
                  <w:noWrap/>
                  <w:vAlign w:val="center"/>
                </w:tcPr>
                <w:p w14:paraId="4AF8D5EC">
                  <w:pPr>
                    <w:snapToGrid/>
                    <w:spacing w:line="240" w:lineRule="auto"/>
                    <w:jc w:val="center"/>
                    <w:rPr>
                      <w:color w:val="auto"/>
                      <w:kern w:val="28"/>
                      <w:szCs w:val="21"/>
                    </w:rPr>
                  </w:pPr>
                  <w:r>
                    <w:rPr>
                      <w:color w:val="auto"/>
                      <w:kern w:val="28"/>
                      <w:szCs w:val="21"/>
                    </w:rPr>
                    <w:t>Ⅲ类</w:t>
                  </w:r>
                </w:p>
              </w:tc>
              <w:tc>
                <w:tcPr>
                  <w:tcW w:w="855" w:type="pct"/>
                  <w:tcBorders>
                    <w:top w:val="single" w:color="auto" w:sz="4" w:space="0"/>
                    <w:left w:val="single" w:color="auto" w:sz="4" w:space="0"/>
                    <w:bottom w:val="single" w:color="auto" w:sz="4" w:space="0"/>
                    <w:right w:val="single" w:color="auto" w:sz="4" w:space="0"/>
                  </w:tcBorders>
                  <w:noWrap/>
                  <w:vAlign w:val="center"/>
                </w:tcPr>
                <w:p w14:paraId="4CAA7485">
                  <w:pPr>
                    <w:snapToGrid/>
                    <w:spacing w:line="240" w:lineRule="auto"/>
                    <w:jc w:val="center"/>
                    <w:rPr>
                      <w:color w:val="auto"/>
                      <w:kern w:val="28"/>
                      <w:szCs w:val="21"/>
                    </w:rPr>
                  </w:pPr>
                  <w:r>
                    <w:rPr>
                      <w:color w:val="auto"/>
                      <w:kern w:val="28"/>
                      <w:szCs w:val="21"/>
                    </w:rPr>
                    <w:t>Ⅲ类</w:t>
                  </w:r>
                </w:p>
              </w:tc>
              <w:tc>
                <w:tcPr>
                  <w:tcW w:w="733" w:type="pct"/>
                  <w:tcBorders>
                    <w:top w:val="single" w:color="auto" w:sz="4" w:space="0"/>
                    <w:left w:val="single" w:color="auto" w:sz="4" w:space="0"/>
                    <w:bottom w:val="single" w:color="auto" w:sz="4" w:space="0"/>
                    <w:right w:val="single" w:color="auto" w:sz="4" w:space="0"/>
                  </w:tcBorders>
                  <w:noWrap/>
                  <w:vAlign w:val="center"/>
                </w:tcPr>
                <w:p w14:paraId="27AF494D">
                  <w:pPr>
                    <w:snapToGrid/>
                    <w:spacing w:line="240" w:lineRule="auto"/>
                    <w:jc w:val="center"/>
                    <w:rPr>
                      <w:color w:val="auto"/>
                      <w:kern w:val="28"/>
                      <w:szCs w:val="21"/>
                    </w:rPr>
                  </w:pPr>
                  <w:r>
                    <w:rPr>
                      <w:color w:val="auto"/>
                      <w:kern w:val="28"/>
                      <w:szCs w:val="21"/>
                    </w:rPr>
                    <w:t>/</w:t>
                  </w:r>
                </w:p>
              </w:tc>
              <w:tc>
                <w:tcPr>
                  <w:tcW w:w="716" w:type="pct"/>
                  <w:tcBorders>
                    <w:top w:val="single" w:color="auto" w:sz="4" w:space="0"/>
                    <w:left w:val="single" w:color="auto" w:sz="4" w:space="0"/>
                    <w:bottom w:val="single" w:color="auto" w:sz="4" w:space="0"/>
                    <w:right w:val="single" w:color="auto" w:sz="4" w:space="0"/>
                  </w:tcBorders>
                  <w:noWrap/>
                  <w:vAlign w:val="center"/>
                </w:tcPr>
                <w:p w14:paraId="144F8E0B">
                  <w:pPr>
                    <w:snapToGrid/>
                    <w:spacing w:line="240" w:lineRule="auto"/>
                    <w:jc w:val="center"/>
                    <w:rPr>
                      <w:color w:val="auto"/>
                      <w:kern w:val="28"/>
                      <w:szCs w:val="21"/>
                    </w:rPr>
                  </w:pPr>
                  <w:r>
                    <w:rPr>
                      <w:color w:val="auto"/>
                      <w:kern w:val="28"/>
                      <w:szCs w:val="21"/>
                    </w:rPr>
                    <w:t>/</w:t>
                  </w:r>
                </w:p>
              </w:tc>
              <w:tc>
                <w:tcPr>
                  <w:tcW w:w="627" w:type="pct"/>
                  <w:tcBorders>
                    <w:top w:val="single" w:color="auto" w:sz="4" w:space="0"/>
                    <w:left w:val="single" w:color="auto" w:sz="4" w:space="0"/>
                    <w:bottom w:val="single" w:color="auto" w:sz="4" w:space="0"/>
                    <w:right w:val="single" w:color="auto" w:sz="4" w:space="0"/>
                  </w:tcBorders>
                  <w:noWrap/>
                  <w:vAlign w:val="center"/>
                </w:tcPr>
                <w:p w14:paraId="250F8A02">
                  <w:pPr>
                    <w:jc w:val="center"/>
                    <w:rPr>
                      <w:color w:val="auto"/>
                      <w:szCs w:val="21"/>
                    </w:rPr>
                  </w:pPr>
                  <w:r>
                    <w:rPr>
                      <w:color w:val="auto"/>
                      <w:szCs w:val="21"/>
                    </w:rPr>
                    <w:t>水质良好</w:t>
                  </w:r>
                </w:p>
              </w:tc>
            </w:tr>
            <w:tr w14:paraId="557B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13" w:type="pct"/>
                  <w:tcBorders>
                    <w:top w:val="single" w:color="auto" w:sz="4" w:space="0"/>
                    <w:left w:val="single" w:color="auto" w:sz="4" w:space="0"/>
                    <w:bottom w:val="single" w:color="auto" w:sz="4" w:space="0"/>
                    <w:right w:val="single" w:color="auto" w:sz="4" w:space="0"/>
                  </w:tcBorders>
                  <w:noWrap/>
                  <w:vAlign w:val="center"/>
                </w:tcPr>
                <w:p w14:paraId="1B9D4E95">
                  <w:pPr>
                    <w:snapToGrid/>
                    <w:spacing w:line="240" w:lineRule="auto"/>
                    <w:jc w:val="center"/>
                    <w:rPr>
                      <w:color w:val="auto"/>
                      <w:kern w:val="28"/>
                      <w:szCs w:val="21"/>
                    </w:rPr>
                  </w:pPr>
                  <w:r>
                    <w:rPr>
                      <w:color w:val="auto"/>
                      <w:kern w:val="28"/>
                      <w:szCs w:val="21"/>
                    </w:rPr>
                    <w:t>沫河口断面</w:t>
                  </w:r>
                </w:p>
              </w:tc>
              <w:tc>
                <w:tcPr>
                  <w:tcW w:w="855" w:type="pct"/>
                  <w:tcBorders>
                    <w:top w:val="single" w:color="auto" w:sz="4" w:space="0"/>
                    <w:left w:val="single" w:color="auto" w:sz="4" w:space="0"/>
                    <w:bottom w:val="single" w:color="auto" w:sz="4" w:space="0"/>
                    <w:right w:val="single" w:color="auto" w:sz="4" w:space="0"/>
                  </w:tcBorders>
                  <w:noWrap/>
                  <w:vAlign w:val="center"/>
                </w:tcPr>
                <w:p w14:paraId="67438B38">
                  <w:pPr>
                    <w:snapToGrid/>
                    <w:spacing w:line="240" w:lineRule="auto"/>
                    <w:jc w:val="center"/>
                    <w:rPr>
                      <w:color w:val="auto"/>
                      <w:kern w:val="28"/>
                      <w:szCs w:val="21"/>
                    </w:rPr>
                  </w:pPr>
                  <w:r>
                    <w:rPr>
                      <w:color w:val="auto"/>
                      <w:kern w:val="28"/>
                      <w:szCs w:val="21"/>
                    </w:rPr>
                    <w:t>Ⅲ类</w:t>
                  </w:r>
                </w:p>
              </w:tc>
              <w:tc>
                <w:tcPr>
                  <w:tcW w:w="855" w:type="pct"/>
                  <w:tcBorders>
                    <w:top w:val="single" w:color="auto" w:sz="4" w:space="0"/>
                    <w:left w:val="single" w:color="auto" w:sz="4" w:space="0"/>
                    <w:bottom w:val="single" w:color="auto" w:sz="4" w:space="0"/>
                    <w:right w:val="single" w:color="auto" w:sz="4" w:space="0"/>
                  </w:tcBorders>
                  <w:noWrap/>
                  <w:vAlign w:val="center"/>
                </w:tcPr>
                <w:p w14:paraId="12E972BB">
                  <w:pPr>
                    <w:snapToGrid/>
                    <w:spacing w:line="240" w:lineRule="auto"/>
                    <w:jc w:val="center"/>
                    <w:rPr>
                      <w:color w:val="auto"/>
                      <w:kern w:val="28"/>
                      <w:szCs w:val="21"/>
                    </w:rPr>
                  </w:pPr>
                  <w:r>
                    <w:rPr>
                      <w:color w:val="auto"/>
                      <w:kern w:val="28"/>
                      <w:szCs w:val="21"/>
                    </w:rPr>
                    <w:t>Ⅲ类</w:t>
                  </w:r>
                </w:p>
              </w:tc>
              <w:tc>
                <w:tcPr>
                  <w:tcW w:w="733" w:type="pct"/>
                  <w:tcBorders>
                    <w:top w:val="single" w:color="auto" w:sz="4" w:space="0"/>
                    <w:left w:val="single" w:color="auto" w:sz="4" w:space="0"/>
                    <w:bottom w:val="single" w:color="auto" w:sz="4" w:space="0"/>
                    <w:right w:val="single" w:color="auto" w:sz="4" w:space="0"/>
                  </w:tcBorders>
                  <w:noWrap/>
                  <w:vAlign w:val="center"/>
                </w:tcPr>
                <w:p w14:paraId="7AF9AB6A">
                  <w:pPr>
                    <w:snapToGrid/>
                    <w:spacing w:line="240" w:lineRule="auto"/>
                    <w:jc w:val="center"/>
                    <w:rPr>
                      <w:color w:val="auto"/>
                      <w:kern w:val="28"/>
                      <w:szCs w:val="21"/>
                    </w:rPr>
                  </w:pPr>
                  <w:r>
                    <w:rPr>
                      <w:color w:val="auto"/>
                      <w:kern w:val="28"/>
                      <w:szCs w:val="21"/>
                    </w:rPr>
                    <w:t>/</w:t>
                  </w:r>
                </w:p>
              </w:tc>
              <w:tc>
                <w:tcPr>
                  <w:tcW w:w="716" w:type="pct"/>
                  <w:tcBorders>
                    <w:top w:val="single" w:color="auto" w:sz="4" w:space="0"/>
                    <w:left w:val="single" w:color="auto" w:sz="4" w:space="0"/>
                    <w:bottom w:val="single" w:color="auto" w:sz="4" w:space="0"/>
                    <w:right w:val="single" w:color="auto" w:sz="4" w:space="0"/>
                  </w:tcBorders>
                  <w:noWrap/>
                  <w:vAlign w:val="center"/>
                </w:tcPr>
                <w:p w14:paraId="48D10748">
                  <w:pPr>
                    <w:snapToGrid/>
                    <w:spacing w:line="240" w:lineRule="auto"/>
                    <w:jc w:val="center"/>
                    <w:rPr>
                      <w:color w:val="auto"/>
                      <w:kern w:val="28"/>
                      <w:szCs w:val="21"/>
                    </w:rPr>
                  </w:pPr>
                  <w:r>
                    <w:rPr>
                      <w:color w:val="auto"/>
                      <w:kern w:val="28"/>
                      <w:szCs w:val="21"/>
                    </w:rPr>
                    <w:t>/</w:t>
                  </w:r>
                </w:p>
              </w:tc>
              <w:tc>
                <w:tcPr>
                  <w:tcW w:w="627" w:type="pct"/>
                  <w:tcBorders>
                    <w:top w:val="single" w:color="auto" w:sz="4" w:space="0"/>
                    <w:left w:val="single" w:color="auto" w:sz="4" w:space="0"/>
                    <w:bottom w:val="single" w:color="auto" w:sz="4" w:space="0"/>
                    <w:right w:val="single" w:color="auto" w:sz="4" w:space="0"/>
                  </w:tcBorders>
                  <w:noWrap/>
                  <w:vAlign w:val="center"/>
                </w:tcPr>
                <w:p w14:paraId="1DC7EE71">
                  <w:pPr>
                    <w:jc w:val="center"/>
                    <w:rPr>
                      <w:color w:val="auto"/>
                      <w:szCs w:val="21"/>
                    </w:rPr>
                  </w:pPr>
                  <w:r>
                    <w:rPr>
                      <w:color w:val="auto"/>
                      <w:szCs w:val="21"/>
                    </w:rPr>
                    <w:t>水质良好</w:t>
                  </w:r>
                </w:p>
              </w:tc>
            </w:tr>
          </w:tbl>
          <w:p w14:paraId="70DD8C7B">
            <w:pPr>
              <w:spacing w:line="360" w:lineRule="auto"/>
              <w:ind w:firstLine="480" w:firstLineChars="200"/>
              <w:jc w:val="left"/>
              <w:rPr>
                <w:color w:val="auto"/>
                <w:sz w:val="24"/>
              </w:rPr>
            </w:pPr>
            <w:r>
              <w:rPr>
                <w:color w:val="auto"/>
                <w:sz w:val="24"/>
              </w:rPr>
              <w:t>从上表可以看出，本项目所在区域的淮河水质符合《地表水环境质量标准》</w:t>
            </w:r>
            <w:r>
              <w:rPr>
                <w:rFonts w:hint="eastAsia"/>
                <w:color w:val="auto"/>
                <w:sz w:val="24"/>
              </w:rPr>
              <w:t>（</w:t>
            </w:r>
            <w:r>
              <w:rPr>
                <w:color w:val="auto"/>
                <w:sz w:val="24"/>
              </w:rPr>
              <w:t>GB3838-2002</w:t>
            </w:r>
            <w:r>
              <w:rPr>
                <w:rFonts w:hint="eastAsia"/>
                <w:color w:val="auto"/>
                <w:sz w:val="24"/>
              </w:rPr>
              <w:t>）</w:t>
            </w:r>
            <w:r>
              <w:rPr>
                <w:color w:val="auto"/>
                <w:sz w:val="24"/>
              </w:rPr>
              <w:t>中Ⅲ类标准的要求，水质状况良好。</w:t>
            </w:r>
          </w:p>
          <w:p w14:paraId="09F70E88">
            <w:pPr>
              <w:spacing w:line="360" w:lineRule="auto"/>
              <w:ind w:firstLine="480" w:firstLineChars="200"/>
              <w:jc w:val="left"/>
              <w:rPr>
                <w:color w:val="auto"/>
                <w:sz w:val="24"/>
              </w:rPr>
            </w:pPr>
            <w:r>
              <w:rPr>
                <w:color w:val="auto"/>
                <w:sz w:val="24"/>
              </w:rPr>
              <w:t>3</w:t>
            </w:r>
            <w:r>
              <w:rPr>
                <w:rFonts w:hint="eastAsia"/>
                <w:color w:val="auto"/>
                <w:sz w:val="24"/>
              </w:rPr>
              <w:t>、声环境质量现状</w:t>
            </w:r>
          </w:p>
          <w:p w14:paraId="2390F47C">
            <w:pPr>
              <w:pStyle w:val="83"/>
              <w:adjustRightInd w:val="0"/>
              <w:snapToGrid w:val="0"/>
              <w:spacing w:line="520" w:lineRule="exact"/>
              <w:ind w:firstLine="480"/>
              <w:rPr>
                <w:rFonts w:hint="eastAsia" w:ascii="Times New Roman" w:hAnsi="Times New Roman" w:eastAsia="宋体" w:cs="Times New Roman"/>
                <w:color w:val="auto"/>
                <w:kern w:val="2"/>
                <w:sz w:val="24"/>
              </w:rPr>
            </w:pPr>
            <w:r>
              <w:rPr>
                <w:rFonts w:hint="eastAsia" w:ascii="Times New Roman" w:hAnsi="Times New Roman" w:eastAsia="宋体" w:cs="Times New Roman"/>
                <w:color w:val="auto"/>
                <w:kern w:val="2"/>
                <w:sz w:val="24"/>
              </w:rPr>
              <w:t>1）监测点位，监测时间及频率</w:t>
            </w:r>
          </w:p>
          <w:p w14:paraId="7F4B8D8D">
            <w:pPr>
              <w:pStyle w:val="83"/>
              <w:adjustRightInd w:val="0"/>
              <w:snapToGrid w:val="0"/>
              <w:spacing w:line="520" w:lineRule="exact"/>
              <w:ind w:firstLine="480"/>
              <w:rPr>
                <w:rFonts w:hint="eastAsia" w:ascii="Times New Roman" w:hAnsi="Times New Roman" w:eastAsia="宋体" w:cs="Times New Roman"/>
                <w:color w:val="auto"/>
                <w:kern w:val="2"/>
                <w:sz w:val="24"/>
              </w:rPr>
            </w:pPr>
            <w:r>
              <w:rPr>
                <w:rFonts w:hint="eastAsia" w:ascii="Times New Roman" w:hAnsi="Times New Roman" w:eastAsia="宋体" w:cs="Times New Roman"/>
                <w:color w:val="auto"/>
                <w:kern w:val="2"/>
                <w:sz w:val="24"/>
              </w:rPr>
              <w:t>建设单位委托安徽省</w:t>
            </w:r>
            <w:r>
              <w:rPr>
                <w:rFonts w:hint="eastAsia" w:ascii="Times New Roman" w:hAnsi="Times New Roman" w:cs="Times New Roman"/>
                <w:color w:val="auto"/>
                <w:kern w:val="2"/>
                <w:sz w:val="24"/>
                <w:lang w:val="en-US" w:eastAsia="zh-CN"/>
              </w:rPr>
              <w:t>众诚</w:t>
            </w:r>
            <w:r>
              <w:rPr>
                <w:rFonts w:hint="eastAsia" w:ascii="Times New Roman" w:hAnsi="Times New Roman" w:eastAsia="宋体" w:cs="Times New Roman"/>
                <w:color w:val="auto"/>
                <w:kern w:val="2"/>
                <w:sz w:val="24"/>
              </w:rPr>
              <w:t>检测有限公司于2022年</w:t>
            </w:r>
            <w:r>
              <w:rPr>
                <w:rFonts w:hint="eastAsia" w:ascii="Times New Roman" w:hAnsi="Times New Roman" w:eastAsia="宋体" w:cs="Times New Roman"/>
                <w:color w:val="auto"/>
                <w:kern w:val="2"/>
                <w:sz w:val="24"/>
                <w:lang w:val="en-US" w:eastAsia="zh-CN"/>
              </w:rPr>
              <w:t>8</w:t>
            </w:r>
            <w:r>
              <w:rPr>
                <w:rFonts w:hint="eastAsia" w:ascii="Times New Roman" w:hAnsi="Times New Roman" w:eastAsia="宋体" w:cs="Times New Roman"/>
                <w:color w:val="auto"/>
                <w:kern w:val="2"/>
                <w:sz w:val="24"/>
              </w:rPr>
              <w:t>月</w:t>
            </w:r>
            <w:r>
              <w:rPr>
                <w:rFonts w:hint="eastAsia" w:ascii="Times New Roman" w:hAnsi="Times New Roman" w:eastAsia="宋体" w:cs="Times New Roman"/>
                <w:color w:val="auto"/>
                <w:kern w:val="2"/>
                <w:sz w:val="24"/>
                <w:lang w:val="en-US" w:eastAsia="zh-CN"/>
              </w:rPr>
              <w:t>20</w:t>
            </w:r>
            <w:r>
              <w:rPr>
                <w:rFonts w:hint="eastAsia" w:ascii="Times New Roman" w:hAnsi="Times New Roman" w:eastAsia="宋体" w:cs="Times New Roman"/>
                <w:color w:val="auto"/>
                <w:kern w:val="2"/>
                <w:sz w:val="24"/>
              </w:rPr>
              <w:t>日、</w:t>
            </w:r>
            <w:r>
              <w:rPr>
                <w:rFonts w:hint="eastAsia" w:ascii="Times New Roman" w:hAnsi="Times New Roman" w:eastAsia="宋体" w:cs="Times New Roman"/>
                <w:color w:val="auto"/>
                <w:kern w:val="2"/>
                <w:sz w:val="24"/>
                <w:lang w:val="en-US" w:eastAsia="zh-CN"/>
              </w:rPr>
              <w:t>21</w:t>
            </w:r>
            <w:r>
              <w:rPr>
                <w:rFonts w:hint="eastAsia" w:ascii="Times New Roman" w:hAnsi="Times New Roman" w:eastAsia="宋体" w:cs="Times New Roman"/>
                <w:color w:val="auto"/>
                <w:kern w:val="2"/>
                <w:sz w:val="24"/>
              </w:rPr>
              <w:t>日对项目评价范围内的厂界四周声环境环境现状进行了实地检测，昼、夜间各监测一次。</w:t>
            </w:r>
          </w:p>
          <w:p w14:paraId="63284D3B">
            <w:pPr>
              <w:pStyle w:val="83"/>
              <w:adjustRightInd w:val="0"/>
              <w:snapToGrid w:val="0"/>
              <w:spacing w:line="520" w:lineRule="exact"/>
              <w:ind w:firstLine="480"/>
              <w:rPr>
                <w:rFonts w:hint="eastAsia" w:ascii="Times New Roman" w:hAnsi="Times New Roman" w:eastAsia="宋体" w:cs="Times New Roman"/>
                <w:color w:val="auto"/>
                <w:kern w:val="2"/>
                <w:sz w:val="24"/>
              </w:rPr>
            </w:pPr>
            <w:r>
              <w:rPr>
                <w:rFonts w:hint="eastAsia" w:ascii="Times New Roman" w:hAnsi="Times New Roman" w:eastAsia="宋体" w:cs="Times New Roman"/>
                <w:color w:val="auto"/>
                <w:kern w:val="2"/>
                <w:sz w:val="24"/>
              </w:rPr>
              <w:t>（2）监测结果与评价</w:t>
            </w:r>
          </w:p>
          <w:p w14:paraId="7490C13C">
            <w:pPr>
              <w:pStyle w:val="84"/>
              <w:tabs>
                <w:tab w:val="center" w:pos="4456"/>
                <w:tab w:val="left" w:pos="7350"/>
              </w:tabs>
              <w:snapToGrid w:val="0"/>
              <w:spacing w:line="240" w:lineRule="auto"/>
              <w:ind w:left="0" w:right="0" w:firstLine="0"/>
              <w:jc w:val="center"/>
              <w:rPr>
                <w:b/>
                <w:bCs/>
                <w:color w:val="auto"/>
                <w:sz w:val="18"/>
                <w:szCs w:val="21"/>
              </w:rPr>
            </w:pPr>
            <w:r>
              <w:rPr>
                <w:b/>
                <w:bCs/>
                <w:color w:val="auto"/>
                <w:sz w:val="18"/>
                <w:szCs w:val="21"/>
              </w:rPr>
              <w:t>表3-</w:t>
            </w:r>
            <w:r>
              <w:rPr>
                <w:rFonts w:hint="eastAsia"/>
                <w:b/>
                <w:bCs/>
                <w:color w:val="auto"/>
                <w:sz w:val="18"/>
                <w:szCs w:val="21"/>
              </w:rPr>
              <w:t>1</w:t>
            </w:r>
            <w:r>
              <w:rPr>
                <w:b/>
                <w:bCs/>
                <w:color w:val="auto"/>
                <w:sz w:val="18"/>
                <w:szCs w:val="21"/>
              </w:rPr>
              <w:t xml:space="preserve">  噪声监测结果</w:t>
            </w:r>
          </w:p>
          <w:tbl>
            <w:tblPr>
              <w:tblStyle w:val="26"/>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28" w:type="dxa"/>
                <w:left w:w="0" w:type="dxa"/>
                <w:bottom w:w="28" w:type="dxa"/>
                <w:right w:w="0" w:type="dxa"/>
              </w:tblCellMar>
            </w:tblPr>
            <w:tblGrid>
              <w:gridCol w:w="3202"/>
              <w:gridCol w:w="1459"/>
              <w:gridCol w:w="1590"/>
              <w:gridCol w:w="1593"/>
            </w:tblGrid>
            <w:tr w14:paraId="338AF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157" w:hRule="atLeast"/>
              </w:trPr>
              <w:tc>
                <w:tcPr>
                  <w:tcW w:w="2041" w:type="pct"/>
                  <w:vMerge w:val="restart"/>
                  <w:noWrap w:val="0"/>
                  <w:vAlign w:val="center"/>
                </w:tcPr>
                <w:p w14:paraId="19059461">
                  <w:pPr>
                    <w:pStyle w:val="85"/>
                    <w:spacing w:line="240" w:lineRule="auto"/>
                    <w:rPr>
                      <w:rFonts w:ascii="Times New Roman" w:hAnsi="Times New Roman" w:cs="Times New Roman"/>
                      <w:b/>
                      <w:bCs/>
                      <w:color w:val="auto"/>
                    </w:rPr>
                  </w:pPr>
                  <w:r>
                    <w:rPr>
                      <w:rFonts w:ascii="Times New Roman" w:hAnsi="Times New Roman" w:cs="Times New Roman"/>
                      <w:b/>
                      <w:bCs/>
                      <w:color w:val="auto"/>
                    </w:rPr>
                    <w:t>监测时间</w:t>
                  </w:r>
                </w:p>
              </w:tc>
              <w:tc>
                <w:tcPr>
                  <w:tcW w:w="930" w:type="pct"/>
                  <w:vMerge w:val="restart"/>
                  <w:noWrap w:val="0"/>
                  <w:vAlign w:val="center"/>
                </w:tcPr>
                <w:p w14:paraId="771A66F1">
                  <w:pPr>
                    <w:pStyle w:val="85"/>
                    <w:spacing w:line="240" w:lineRule="auto"/>
                    <w:rPr>
                      <w:rFonts w:ascii="Times New Roman" w:hAnsi="Times New Roman" w:cs="Times New Roman"/>
                      <w:b/>
                      <w:bCs/>
                      <w:color w:val="auto"/>
                    </w:rPr>
                  </w:pPr>
                  <w:r>
                    <w:rPr>
                      <w:rFonts w:ascii="Times New Roman" w:hAnsi="Times New Roman" w:cs="Times New Roman"/>
                      <w:b/>
                      <w:bCs/>
                      <w:color w:val="auto"/>
                    </w:rPr>
                    <w:t>监测点位</w:t>
                  </w:r>
                </w:p>
              </w:tc>
              <w:tc>
                <w:tcPr>
                  <w:tcW w:w="2028" w:type="pct"/>
                  <w:gridSpan w:val="2"/>
                  <w:noWrap w:val="0"/>
                  <w:vAlign w:val="center"/>
                </w:tcPr>
                <w:p w14:paraId="473AD9E7">
                  <w:pPr>
                    <w:pStyle w:val="85"/>
                    <w:spacing w:line="240" w:lineRule="auto"/>
                    <w:rPr>
                      <w:rFonts w:ascii="Times New Roman" w:hAnsi="Times New Roman" w:cs="Times New Roman"/>
                      <w:b/>
                      <w:bCs/>
                      <w:color w:val="auto"/>
                    </w:rPr>
                  </w:pPr>
                  <w:r>
                    <w:rPr>
                      <w:rFonts w:ascii="Times New Roman" w:hAnsi="Times New Roman" w:cs="Times New Roman"/>
                      <w:b/>
                      <w:bCs/>
                      <w:color w:val="auto"/>
                    </w:rPr>
                    <w:t>监测结果(dB(A))</w:t>
                  </w:r>
                </w:p>
              </w:tc>
            </w:tr>
            <w:tr w14:paraId="7CF63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157" w:hRule="atLeast"/>
              </w:trPr>
              <w:tc>
                <w:tcPr>
                  <w:tcW w:w="2041" w:type="pct"/>
                  <w:vMerge w:val="continue"/>
                  <w:noWrap w:val="0"/>
                  <w:vAlign w:val="center"/>
                </w:tcPr>
                <w:p w14:paraId="35CEF837">
                  <w:pPr>
                    <w:pStyle w:val="85"/>
                    <w:spacing w:line="240" w:lineRule="auto"/>
                    <w:rPr>
                      <w:rFonts w:ascii="Times New Roman" w:hAnsi="Times New Roman" w:cs="Times New Roman"/>
                      <w:b/>
                      <w:bCs/>
                      <w:color w:val="auto"/>
                    </w:rPr>
                  </w:pPr>
                </w:p>
              </w:tc>
              <w:tc>
                <w:tcPr>
                  <w:tcW w:w="930" w:type="pct"/>
                  <w:vMerge w:val="continue"/>
                  <w:noWrap w:val="0"/>
                  <w:vAlign w:val="center"/>
                </w:tcPr>
                <w:p w14:paraId="3CD968CE">
                  <w:pPr>
                    <w:pStyle w:val="85"/>
                    <w:spacing w:line="240" w:lineRule="auto"/>
                    <w:rPr>
                      <w:rFonts w:ascii="Times New Roman" w:hAnsi="Times New Roman" w:cs="Times New Roman"/>
                      <w:b/>
                      <w:bCs/>
                      <w:color w:val="auto"/>
                    </w:rPr>
                  </w:pPr>
                </w:p>
              </w:tc>
              <w:tc>
                <w:tcPr>
                  <w:tcW w:w="1013" w:type="pct"/>
                  <w:noWrap w:val="0"/>
                  <w:vAlign w:val="center"/>
                </w:tcPr>
                <w:p w14:paraId="0E21C117">
                  <w:pPr>
                    <w:pStyle w:val="85"/>
                    <w:spacing w:line="240" w:lineRule="auto"/>
                    <w:rPr>
                      <w:rFonts w:ascii="Times New Roman" w:hAnsi="Times New Roman" w:cs="Times New Roman"/>
                      <w:b/>
                      <w:bCs/>
                      <w:color w:val="auto"/>
                    </w:rPr>
                  </w:pPr>
                  <w:r>
                    <w:rPr>
                      <w:rFonts w:ascii="Times New Roman" w:hAnsi="Times New Roman" w:cs="Times New Roman"/>
                      <w:b/>
                      <w:bCs/>
                      <w:color w:val="auto"/>
                    </w:rPr>
                    <w:t>昼间</w:t>
                  </w:r>
                </w:p>
              </w:tc>
              <w:tc>
                <w:tcPr>
                  <w:tcW w:w="1015" w:type="pct"/>
                  <w:noWrap w:val="0"/>
                  <w:vAlign w:val="center"/>
                </w:tcPr>
                <w:p w14:paraId="5A5B224A">
                  <w:pPr>
                    <w:pStyle w:val="85"/>
                    <w:spacing w:line="240" w:lineRule="auto"/>
                    <w:rPr>
                      <w:rFonts w:ascii="Times New Roman" w:hAnsi="Times New Roman" w:cs="Times New Roman"/>
                      <w:b/>
                      <w:bCs/>
                      <w:color w:val="auto"/>
                    </w:rPr>
                  </w:pPr>
                  <w:r>
                    <w:rPr>
                      <w:rFonts w:ascii="Times New Roman" w:hAnsi="Times New Roman" w:cs="Times New Roman"/>
                      <w:b/>
                      <w:bCs/>
                      <w:color w:val="auto"/>
                    </w:rPr>
                    <w:t>夜间</w:t>
                  </w:r>
                </w:p>
              </w:tc>
            </w:tr>
            <w:tr w14:paraId="60E55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restart"/>
                  <w:noWrap w:val="0"/>
                  <w:vAlign w:val="center"/>
                </w:tcPr>
                <w:p w14:paraId="2DD89B73">
                  <w:pPr>
                    <w:pStyle w:val="85"/>
                    <w:spacing w:line="240" w:lineRule="auto"/>
                    <w:rPr>
                      <w:rFonts w:hint="default" w:ascii="Times New Roman" w:hAnsi="Times New Roman" w:eastAsia="宋体" w:cs="Times New Roman"/>
                      <w:color w:val="auto"/>
                      <w:lang w:val="en-US" w:eastAsia="zh-CN"/>
                    </w:rPr>
                  </w:pPr>
                  <w:r>
                    <w:rPr>
                      <w:rFonts w:ascii="Times New Roman" w:hAnsi="Times New Roman" w:cs="Times New Roman"/>
                      <w:color w:val="auto"/>
                    </w:rPr>
                    <w:t>202</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8</w:t>
                  </w:r>
                  <w:r>
                    <w:rPr>
                      <w:rFonts w:hint="eastAsia" w:ascii="Times New Roman" w:hAnsi="Times New Roman" w:cs="Times New Roman"/>
                      <w:color w:val="auto"/>
                    </w:rPr>
                    <w:t>.</w:t>
                  </w:r>
                  <w:r>
                    <w:rPr>
                      <w:rFonts w:hint="eastAsia" w:ascii="Times New Roman" w:hAnsi="Times New Roman" w:cs="Times New Roman"/>
                      <w:color w:val="auto"/>
                      <w:lang w:val="en-US" w:eastAsia="zh-CN"/>
                    </w:rPr>
                    <w:t>20</w:t>
                  </w:r>
                </w:p>
              </w:tc>
              <w:tc>
                <w:tcPr>
                  <w:tcW w:w="930" w:type="pct"/>
                  <w:noWrap w:val="0"/>
                  <w:vAlign w:val="center"/>
                </w:tcPr>
                <w:p w14:paraId="39B18423">
                  <w:pPr>
                    <w:pStyle w:val="85"/>
                    <w:spacing w:line="240" w:lineRule="auto"/>
                    <w:rPr>
                      <w:rFonts w:ascii="Times New Roman" w:hAnsi="Times New Roman" w:cs="Times New Roman"/>
                      <w:color w:val="auto"/>
                    </w:rPr>
                  </w:pPr>
                  <w:r>
                    <w:rPr>
                      <w:rFonts w:ascii="Times New Roman" w:hAnsi="Times New Roman" w:cs="Times New Roman"/>
                      <w:color w:val="auto"/>
                    </w:rPr>
                    <w:t xml:space="preserve">厂界东侧外 </w:t>
                  </w:r>
                  <w:r>
                    <w:rPr>
                      <w:rFonts w:hint="eastAsia" w:ascii="Times New Roman" w:hAnsi="Times New Roman" w:cs="Times New Roman"/>
                      <w:color w:val="auto"/>
                    </w:rPr>
                    <w:t>N</w:t>
                  </w:r>
                  <w:r>
                    <w:rPr>
                      <w:rFonts w:ascii="Times New Roman" w:hAnsi="Times New Roman" w:cs="Times New Roman"/>
                      <w:color w:val="auto"/>
                    </w:rPr>
                    <w:t>1</w:t>
                  </w:r>
                </w:p>
              </w:tc>
              <w:tc>
                <w:tcPr>
                  <w:tcW w:w="1013" w:type="pct"/>
                  <w:noWrap w:val="0"/>
                  <w:vAlign w:val="center"/>
                </w:tcPr>
                <w:p w14:paraId="708A1415">
                  <w:pPr>
                    <w:widowControl/>
                    <w:jc w:val="center"/>
                    <w:rPr>
                      <w:color w:val="auto"/>
                      <w:szCs w:val="21"/>
                    </w:rPr>
                  </w:pPr>
                  <w:r>
                    <w:rPr>
                      <w:rFonts w:hint="eastAsia"/>
                      <w:color w:val="auto"/>
                      <w:kern w:val="0"/>
                      <w:szCs w:val="21"/>
                      <w:lang w:bidi="ar"/>
                    </w:rPr>
                    <w:t>53.6</w:t>
                  </w:r>
                </w:p>
              </w:tc>
              <w:tc>
                <w:tcPr>
                  <w:tcW w:w="1015" w:type="pct"/>
                  <w:noWrap w:val="0"/>
                  <w:vAlign w:val="center"/>
                </w:tcPr>
                <w:p w14:paraId="76C4EC54">
                  <w:pPr>
                    <w:pStyle w:val="85"/>
                    <w:spacing w:line="240" w:lineRule="auto"/>
                    <w:rPr>
                      <w:rFonts w:ascii="Times New Roman" w:hAnsi="Times New Roman" w:cs="Times New Roman"/>
                      <w:color w:val="auto"/>
                    </w:rPr>
                  </w:pPr>
                  <w:r>
                    <w:rPr>
                      <w:rFonts w:hint="eastAsia" w:ascii="Times New Roman" w:hAnsi="Times New Roman" w:cs="Times New Roman"/>
                      <w:color w:val="auto"/>
                    </w:rPr>
                    <w:t>45.5</w:t>
                  </w:r>
                </w:p>
              </w:tc>
            </w:tr>
            <w:tr w14:paraId="453E0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noWrap w:val="0"/>
                  <w:vAlign w:val="center"/>
                </w:tcPr>
                <w:p w14:paraId="5D5E7084">
                  <w:pPr>
                    <w:pStyle w:val="85"/>
                    <w:spacing w:line="240" w:lineRule="auto"/>
                    <w:rPr>
                      <w:rFonts w:ascii="Times New Roman" w:hAnsi="Times New Roman" w:cs="Times New Roman"/>
                      <w:color w:val="auto"/>
                    </w:rPr>
                  </w:pPr>
                </w:p>
              </w:tc>
              <w:tc>
                <w:tcPr>
                  <w:tcW w:w="930" w:type="pct"/>
                  <w:noWrap w:val="0"/>
                  <w:vAlign w:val="center"/>
                </w:tcPr>
                <w:p w14:paraId="2AD61BCB">
                  <w:pPr>
                    <w:pStyle w:val="85"/>
                    <w:spacing w:line="240" w:lineRule="auto"/>
                    <w:rPr>
                      <w:rFonts w:ascii="Times New Roman" w:hAnsi="Times New Roman" w:cs="Times New Roman"/>
                      <w:color w:val="auto"/>
                    </w:rPr>
                  </w:pPr>
                  <w:r>
                    <w:rPr>
                      <w:rFonts w:ascii="Times New Roman" w:hAnsi="Times New Roman" w:cs="Times New Roman"/>
                      <w:color w:val="auto"/>
                    </w:rPr>
                    <w:t xml:space="preserve">厂界南侧外 </w:t>
                  </w:r>
                  <w:r>
                    <w:rPr>
                      <w:rFonts w:hint="eastAsia" w:ascii="Times New Roman" w:hAnsi="Times New Roman" w:cs="Times New Roman"/>
                      <w:color w:val="auto"/>
                    </w:rPr>
                    <w:t>N</w:t>
                  </w:r>
                  <w:r>
                    <w:rPr>
                      <w:rFonts w:ascii="Times New Roman" w:hAnsi="Times New Roman" w:cs="Times New Roman"/>
                      <w:color w:val="auto"/>
                    </w:rPr>
                    <w:t>2</w:t>
                  </w:r>
                </w:p>
              </w:tc>
              <w:tc>
                <w:tcPr>
                  <w:tcW w:w="1013" w:type="pct"/>
                  <w:noWrap w:val="0"/>
                  <w:vAlign w:val="center"/>
                </w:tcPr>
                <w:p w14:paraId="3CC7FD2E">
                  <w:pPr>
                    <w:pStyle w:val="85"/>
                    <w:spacing w:line="240" w:lineRule="auto"/>
                    <w:rPr>
                      <w:rFonts w:ascii="Times New Roman" w:hAnsi="Times New Roman" w:cs="Times New Roman"/>
                      <w:color w:val="auto"/>
                    </w:rPr>
                  </w:pPr>
                  <w:r>
                    <w:rPr>
                      <w:rFonts w:hint="eastAsia" w:ascii="Times New Roman" w:hAnsi="Times New Roman" w:cs="Times New Roman"/>
                      <w:color w:val="auto"/>
                    </w:rPr>
                    <w:t>54.6</w:t>
                  </w:r>
                </w:p>
              </w:tc>
              <w:tc>
                <w:tcPr>
                  <w:tcW w:w="1015" w:type="pct"/>
                  <w:noWrap w:val="0"/>
                  <w:vAlign w:val="center"/>
                </w:tcPr>
                <w:p w14:paraId="3BF6B17C">
                  <w:pPr>
                    <w:pStyle w:val="85"/>
                    <w:spacing w:line="240" w:lineRule="auto"/>
                    <w:rPr>
                      <w:rFonts w:ascii="Times New Roman" w:hAnsi="Times New Roman" w:cs="Times New Roman"/>
                      <w:color w:val="auto"/>
                    </w:rPr>
                  </w:pPr>
                  <w:r>
                    <w:rPr>
                      <w:rFonts w:hint="eastAsia" w:ascii="Times New Roman" w:hAnsi="Times New Roman" w:cs="Times New Roman"/>
                      <w:color w:val="auto"/>
                    </w:rPr>
                    <w:t>44.8</w:t>
                  </w:r>
                </w:p>
              </w:tc>
            </w:tr>
            <w:tr w14:paraId="7C310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noWrap w:val="0"/>
                  <w:vAlign w:val="center"/>
                </w:tcPr>
                <w:p w14:paraId="7BC38D0E">
                  <w:pPr>
                    <w:pStyle w:val="85"/>
                    <w:spacing w:line="240" w:lineRule="auto"/>
                    <w:rPr>
                      <w:rFonts w:ascii="Times New Roman" w:hAnsi="Times New Roman" w:cs="Times New Roman"/>
                      <w:color w:val="auto"/>
                    </w:rPr>
                  </w:pPr>
                </w:p>
              </w:tc>
              <w:tc>
                <w:tcPr>
                  <w:tcW w:w="930" w:type="pct"/>
                  <w:noWrap w:val="0"/>
                  <w:vAlign w:val="center"/>
                </w:tcPr>
                <w:p w14:paraId="55813C30">
                  <w:pPr>
                    <w:pStyle w:val="85"/>
                    <w:spacing w:line="240" w:lineRule="auto"/>
                    <w:rPr>
                      <w:rFonts w:ascii="Times New Roman" w:hAnsi="Times New Roman" w:cs="Times New Roman"/>
                      <w:color w:val="auto"/>
                    </w:rPr>
                  </w:pPr>
                  <w:r>
                    <w:rPr>
                      <w:rFonts w:ascii="Times New Roman" w:hAnsi="Times New Roman" w:cs="Times New Roman"/>
                      <w:color w:val="auto"/>
                    </w:rPr>
                    <w:t xml:space="preserve">厂界西侧外 </w:t>
                  </w:r>
                  <w:r>
                    <w:rPr>
                      <w:rFonts w:hint="eastAsia" w:ascii="Times New Roman" w:hAnsi="Times New Roman" w:cs="Times New Roman"/>
                      <w:color w:val="auto"/>
                    </w:rPr>
                    <w:t>N</w:t>
                  </w:r>
                  <w:r>
                    <w:rPr>
                      <w:rFonts w:ascii="Times New Roman" w:hAnsi="Times New Roman" w:cs="Times New Roman"/>
                      <w:color w:val="auto"/>
                    </w:rPr>
                    <w:t>3</w:t>
                  </w:r>
                </w:p>
              </w:tc>
              <w:tc>
                <w:tcPr>
                  <w:tcW w:w="1013" w:type="pct"/>
                  <w:noWrap w:val="0"/>
                  <w:vAlign w:val="center"/>
                </w:tcPr>
                <w:p w14:paraId="2A15F1CA">
                  <w:pPr>
                    <w:pStyle w:val="85"/>
                    <w:spacing w:line="240" w:lineRule="auto"/>
                    <w:rPr>
                      <w:rFonts w:ascii="Times New Roman" w:hAnsi="Times New Roman" w:cs="Times New Roman"/>
                      <w:color w:val="auto"/>
                    </w:rPr>
                  </w:pPr>
                  <w:r>
                    <w:rPr>
                      <w:rFonts w:hint="eastAsia" w:ascii="Times New Roman" w:hAnsi="Times New Roman" w:cs="Times New Roman"/>
                      <w:color w:val="auto"/>
                    </w:rPr>
                    <w:t>53.1</w:t>
                  </w:r>
                </w:p>
              </w:tc>
              <w:tc>
                <w:tcPr>
                  <w:tcW w:w="1015" w:type="pct"/>
                  <w:noWrap w:val="0"/>
                  <w:vAlign w:val="center"/>
                </w:tcPr>
                <w:p w14:paraId="21CA6AFE">
                  <w:pPr>
                    <w:pStyle w:val="85"/>
                    <w:spacing w:line="240" w:lineRule="auto"/>
                    <w:rPr>
                      <w:rFonts w:ascii="Times New Roman" w:hAnsi="Times New Roman" w:cs="Times New Roman"/>
                      <w:color w:val="auto"/>
                    </w:rPr>
                  </w:pPr>
                  <w:r>
                    <w:rPr>
                      <w:rFonts w:hint="eastAsia" w:ascii="Times New Roman" w:hAnsi="Times New Roman" w:cs="Times New Roman"/>
                      <w:color w:val="auto"/>
                    </w:rPr>
                    <w:t>45.6</w:t>
                  </w:r>
                </w:p>
              </w:tc>
            </w:tr>
            <w:tr w14:paraId="1C412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tcBorders>
                    <w:bottom w:val="single" w:color="auto" w:sz="4" w:space="0"/>
                  </w:tcBorders>
                  <w:noWrap w:val="0"/>
                  <w:vAlign w:val="center"/>
                </w:tcPr>
                <w:p w14:paraId="6242FDF9">
                  <w:pPr>
                    <w:pStyle w:val="85"/>
                    <w:spacing w:line="240" w:lineRule="auto"/>
                    <w:rPr>
                      <w:rFonts w:ascii="Times New Roman" w:hAnsi="Times New Roman" w:cs="Times New Roman"/>
                      <w:color w:val="auto"/>
                    </w:rPr>
                  </w:pPr>
                </w:p>
              </w:tc>
              <w:tc>
                <w:tcPr>
                  <w:tcW w:w="930" w:type="pct"/>
                  <w:tcBorders>
                    <w:bottom w:val="single" w:color="auto" w:sz="4" w:space="0"/>
                  </w:tcBorders>
                  <w:noWrap w:val="0"/>
                  <w:vAlign w:val="center"/>
                </w:tcPr>
                <w:p w14:paraId="320D64C7">
                  <w:pPr>
                    <w:pStyle w:val="85"/>
                    <w:spacing w:line="240" w:lineRule="auto"/>
                    <w:rPr>
                      <w:rFonts w:ascii="Times New Roman" w:hAnsi="Times New Roman" w:cs="Times New Roman"/>
                      <w:color w:val="auto"/>
                    </w:rPr>
                  </w:pPr>
                  <w:r>
                    <w:rPr>
                      <w:rFonts w:ascii="Times New Roman" w:hAnsi="Times New Roman" w:cs="Times New Roman"/>
                      <w:color w:val="auto"/>
                    </w:rPr>
                    <w:t xml:space="preserve">厂界北侧外 </w:t>
                  </w:r>
                  <w:r>
                    <w:rPr>
                      <w:rFonts w:hint="eastAsia" w:ascii="Times New Roman" w:hAnsi="Times New Roman" w:cs="Times New Roman"/>
                      <w:color w:val="auto"/>
                    </w:rPr>
                    <w:t>N</w:t>
                  </w:r>
                  <w:r>
                    <w:rPr>
                      <w:rFonts w:ascii="Times New Roman" w:hAnsi="Times New Roman" w:cs="Times New Roman"/>
                      <w:color w:val="auto"/>
                    </w:rPr>
                    <w:t>4</w:t>
                  </w:r>
                </w:p>
              </w:tc>
              <w:tc>
                <w:tcPr>
                  <w:tcW w:w="1013" w:type="pct"/>
                  <w:noWrap w:val="0"/>
                  <w:vAlign w:val="center"/>
                </w:tcPr>
                <w:p w14:paraId="157E600E">
                  <w:pPr>
                    <w:pStyle w:val="85"/>
                    <w:spacing w:line="240" w:lineRule="auto"/>
                    <w:rPr>
                      <w:rFonts w:ascii="Times New Roman" w:hAnsi="Times New Roman" w:cs="Times New Roman"/>
                      <w:color w:val="auto"/>
                    </w:rPr>
                  </w:pPr>
                  <w:r>
                    <w:rPr>
                      <w:rFonts w:hint="eastAsia" w:ascii="Times New Roman" w:hAnsi="Times New Roman" w:cs="Times New Roman"/>
                      <w:color w:val="auto"/>
                    </w:rPr>
                    <w:t>53.6</w:t>
                  </w:r>
                </w:p>
              </w:tc>
              <w:tc>
                <w:tcPr>
                  <w:tcW w:w="1015" w:type="pct"/>
                  <w:noWrap w:val="0"/>
                  <w:vAlign w:val="center"/>
                </w:tcPr>
                <w:p w14:paraId="430A7669">
                  <w:pPr>
                    <w:pStyle w:val="85"/>
                    <w:spacing w:line="240" w:lineRule="auto"/>
                    <w:rPr>
                      <w:rFonts w:ascii="Times New Roman" w:hAnsi="Times New Roman" w:cs="Times New Roman"/>
                      <w:color w:val="auto"/>
                    </w:rPr>
                  </w:pPr>
                  <w:r>
                    <w:rPr>
                      <w:rFonts w:hint="eastAsia" w:ascii="Times New Roman" w:hAnsi="Times New Roman" w:cs="Times New Roman"/>
                      <w:color w:val="auto"/>
                    </w:rPr>
                    <w:t>44.5</w:t>
                  </w:r>
                </w:p>
              </w:tc>
            </w:tr>
            <w:tr w14:paraId="593C8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restart"/>
                  <w:tcBorders>
                    <w:top w:val="single" w:color="auto" w:sz="4" w:space="0"/>
                  </w:tcBorders>
                  <w:noWrap w:val="0"/>
                  <w:vAlign w:val="center"/>
                </w:tcPr>
                <w:p w14:paraId="46A09C93">
                  <w:pPr>
                    <w:pStyle w:val="85"/>
                    <w:spacing w:line="240" w:lineRule="auto"/>
                    <w:rPr>
                      <w:rFonts w:hint="default" w:ascii="Times New Roman" w:hAnsi="Times New Roman" w:eastAsia="宋体" w:cs="Times New Roman"/>
                      <w:color w:val="auto"/>
                      <w:lang w:val="en-US" w:eastAsia="zh-CN"/>
                    </w:rPr>
                  </w:pPr>
                  <w:r>
                    <w:rPr>
                      <w:rFonts w:ascii="Times New Roman" w:hAnsi="Times New Roman" w:cs="Times New Roman"/>
                      <w:color w:val="auto"/>
                    </w:rPr>
                    <w:t>202</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8.21</w:t>
                  </w:r>
                </w:p>
              </w:tc>
              <w:tc>
                <w:tcPr>
                  <w:tcW w:w="930" w:type="pct"/>
                  <w:tcBorders>
                    <w:top w:val="single" w:color="auto" w:sz="4" w:space="0"/>
                  </w:tcBorders>
                  <w:noWrap w:val="0"/>
                  <w:vAlign w:val="center"/>
                </w:tcPr>
                <w:p w14:paraId="0BCB0D14">
                  <w:pPr>
                    <w:pStyle w:val="85"/>
                    <w:spacing w:line="240" w:lineRule="auto"/>
                    <w:rPr>
                      <w:rFonts w:hint="eastAsia" w:ascii="Times New Roman" w:hAnsi="Times New Roman" w:cs="Times New Roman"/>
                      <w:color w:val="auto"/>
                    </w:rPr>
                  </w:pPr>
                  <w:r>
                    <w:rPr>
                      <w:rFonts w:ascii="Times New Roman" w:hAnsi="Times New Roman" w:cs="Times New Roman"/>
                      <w:color w:val="auto"/>
                    </w:rPr>
                    <w:t xml:space="preserve">厂界东侧外 </w:t>
                  </w:r>
                  <w:r>
                    <w:rPr>
                      <w:rFonts w:hint="eastAsia" w:ascii="Times New Roman" w:hAnsi="Times New Roman" w:cs="Times New Roman"/>
                      <w:color w:val="auto"/>
                    </w:rPr>
                    <w:t>N</w:t>
                  </w:r>
                  <w:r>
                    <w:rPr>
                      <w:rFonts w:ascii="Times New Roman" w:hAnsi="Times New Roman" w:cs="Times New Roman"/>
                      <w:color w:val="auto"/>
                    </w:rPr>
                    <w:t>1</w:t>
                  </w:r>
                </w:p>
              </w:tc>
              <w:tc>
                <w:tcPr>
                  <w:tcW w:w="1013" w:type="pct"/>
                  <w:noWrap w:val="0"/>
                  <w:vAlign w:val="center"/>
                </w:tcPr>
                <w:p w14:paraId="2920FE9B">
                  <w:pPr>
                    <w:pStyle w:val="85"/>
                    <w:spacing w:line="240" w:lineRule="auto"/>
                    <w:rPr>
                      <w:rFonts w:ascii="Times New Roman" w:hAnsi="Times New Roman" w:cs="Times New Roman"/>
                      <w:color w:val="auto"/>
                    </w:rPr>
                  </w:pPr>
                  <w:r>
                    <w:rPr>
                      <w:rFonts w:hint="eastAsia" w:ascii="Times New Roman" w:hAnsi="Times New Roman" w:cs="Times New Roman"/>
                      <w:color w:val="auto"/>
                    </w:rPr>
                    <w:t>52.1</w:t>
                  </w:r>
                </w:p>
              </w:tc>
              <w:tc>
                <w:tcPr>
                  <w:tcW w:w="1015" w:type="pct"/>
                  <w:noWrap w:val="0"/>
                  <w:vAlign w:val="center"/>
                </w:tcPr>
                <w:p w14:paraId="544678A7">
                  <w:pPr>
                    <w:pStyle w:val="85"/>
                    <w:spacing w:line="240" w:lineRule="auto"/>
                    <w:rPr>
                      <w:rFonts w:ascii="Times New Roman" w:hAnsi="Times New Roman" w:cs="Times New Roman"/>
                      <w:color w:val="auto"/>
                    </w:rPr>
                  </w:pPr>
                  <w:r>
                    <w:rPr>
                      <w:rFonts w:hint="eastAsia" w:ascii="Times New Roman" w:hAnsi="Times New Roman" w:cs="Times New Roman"/>
                      <w:color w:val="auto"/>
                    </w:rPr>
                    <w:t>45.5</w:t>
                  </w:r>
                </w:p>
              </w:tc>
            </w:tr>
            <w:tr w14:paraId="1B264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noWrap w:val="0"/>
                  <w:vAlign w:val="center"/>
                </w:tcPr>
                <w:p w14:paraId="5977DD80">
                  <w:pPr>
                    <w:pStyle w:val="85"/>
                    <w:spacing w:line="240" w:lineRule="auto"/>
                    <w:rPr>
                      <w:rFonts w:ascii="Times New Roman" w:hAnsi="Times New Roman" w:cs="Times New Roman"/>
                      <w:color w:val="auto"/>
                    </w:rPr>
                  </w:pPr>
                </w:p>
              </w:tc>
              <w:tc>
                <w:tcPr>
                  <w:tcW w:w="930" w:type="pct"/>
                  <w:noWrap w:val="0"/>
                  <w:vAlign w:val="center"/>
                </w:tcPr>
                <w:p w14:paraId="746DC7CF">
                  <w:pPr>
                    <w:pStyle w:val="85"/>
                    <w:spacing w:line="240" w:lineRule="auto"/>
                    <w:rPr>
                      <w:rFonts w:hint="eastAsia" w:ascii="Times New Roman" w:hAnsi="Times New Roman" w:cs="Times New Roman"/>
                      <w:color w:val="auto"/>
                    </w:rPr>
                  </w:pPr>
                  <w:r>
                    <w:rPr>
                      <w:rFonts w:ascii="Times New Roman" w:hAnsi="Times New Roman" w:cs="Times New Roman"/>
                      <w:color w:val="auto"/>
                    </w:rPr>
                    <w:t xml:space="preserve">厂界南侧外 </w:t>
                  </w:r>
                  <w:r>
                    <w:rPr>
                      <w:rFonts w:hint="eastAsia" w:ascii="Times New Roman" w:hAnsi="Times New Roman" w:cs="Times New Roman"/>
                      <w:color w:val="auto"/>
                    </w:rPr>
                    <w:t>N</w:t>
                  </w:r>
                  <w:r>
                    <w:rPr>
                      <w:rFonts w:ascii="Times New Roman" w:hAnsi="Times New Roman" w:cs="Times New Roman"/>
                      <w:color w:val="auto"/>
                    </w:rPr>
                    <w:t>2</w:t>
                  </w:r>
                </w:p>
              </w:tc>
              <w:tc>
                <w:tcPr>
                  <w:tcW w:w="1013" w:type="pct"/>
                  <w:noWrap w:val="0"/>
                  <w:vAlign w:val="center"/>
                </w:tcPr>
                <w:p w14:paraId="58D4523F">
                  <w:pPr>
                    <w:pStyle w:val="85"/>
                    <w:spacing w:line="240" w:lineRule="auto"/>
                    <w:rPr>
                      <w:rFonts w:ascii="Times New Roman" w:hAnsi="Times New Roman" w:cs="Times New Roman"/>
                      <w:color w:val="auto"/>
                    </w:rPr>
                  </w:pPr>
                  <w:r>
                    <w:rPr>
                      <w:rFonts w:hint="eastAsia" w:ascii="Times New Roman" w:hAnsi="Times New Roman" w:cs="Times New Roman"/>
                      <w:color w:val="auto"/>
                    </w:rPr>
                    <w:t>55.3</w:t>
                  </w:r>
                </w:p>
              </w:tc>
              <w:tc>
                <w:tcPr>
                  <w:tcW w:w="1015" w:type="pct"/>
                  <w:noWrap w:val="0"/>
                  <w:vAlign w:val="center"/>
                </w:tcPr>
                <w:p w14:paraId="2F1B9308">
                  <w:pPr>
                    <w:pStyle w:val="85"/>
                    <w:spacing w:line="240" w:lineRule="auto"/>
                    <w:rPr>
                      <w:rFonts w:ascii="Times New Roman" w:hAnsi="Times New Roman" w:cs="Times New Roman"/>
                      <w:color w:val="auto"/>
                    </w:rPr>
                  </w:pPr>
                  <w:r>
                    <w:rPr>
                      <w:rFonts w:hint="eastAsia" w:ascii="Times New Roman" w:hAnsi="Times New Roman" w:cs="Times New Roman"/>
                      <w:color w:val="auto"/>
                    </w:rPr>
                    <w:t>45.4</w:t>
                  </w:r>
                </w:p>
              </w:tc>
            </w:tr>
            <w:tr w14:paraId="18892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noWrap w:val="0"/>
                  <w:vAlign w:val="center"/>
                </w:tcPr>
                <w:p w14:paraId="17A048E4">
                  <w:pPr>
                    <w:pStyle w:val="85"/>
                    <w:spacing w:line="240" w:lineRule="auto"/>
                    <w:rPr>
                      <w:rFonts w:ascii="Times New Roman" w:hAnsi="Times New Roman" w:cs="Times New Roman"/>
                      <w:color w:val="auto"/>
                    </w:rPr>
                  </w:pPr>
                </w:p>
              </w:tc>
              <w:tc>
                <w:tcPr>
                  <w:tcW w:w="930" w:type="pct"/>
                  <w:noWrap w:val="0"/>
                  <w:vAlign w:val="center"/>
                </w:tcPr>
                <w:p w14:paraId="2B1A5BE3">
                  <w:pPr>
                    <w:pStyle w:val="85"/>
                    <w:spacing w:line="240" w:lineRule="auto"/>
                    <w:rPr>
                      <w:rFonts w:hint="eastAsia" w:ascii="Times New Roman" w:hAnsi="Times New Roman" w:cs="Times New Roman"/>
                      <w:color w:val="auto"/>
                    </w:rPr>
                  </w:pPr>
                  <w:r>
                    <w:rPr>
                      <w:rFonts w:ascii="Times New Roman" w:hAnsi="Times New Roman" w:cs="Times New Roman"/>
                      <w:color w:val="auto"/>
                    </w:rPr>
                    <w:t xml:space="preserve">厂界西侧外 </w:t>
                  </w:r>
                  <w:r>
                    <w:rPr>
                      <w:rFonts w:hint="eastAsia" w:ascii="Times New Roman" w:hAnsi="Times New Roman" w:cs="Times New Roman"/>
                      <w:color w:val="auto"/>
                    </w:rPr>
                    <w:t>N</w:t>
                  </w:r>
                  <w:r>
                    <w:rPr>
                      <w:rFonts w:ascii="Times New Roman" w:hAnsi="Times New Roman" w:cs="Times New Roman"/>
                      <w:color w:val="auto"/>
                    </w:rPr>
                    <w:t>3</w:t>
                  </w:r>
                </w:p>
              </w:tc>
              <w:tc>
                <w:tcPr>
                  <w:tcW w:w="1013" w:type="pct"/>
                  <w:noWrap w:val="0"/>
                  <w:vAlign w:val="center"/>
                </w:tcPr>
                <w:p w14:paraId="5002CDED">
                  <w:pPr>
                    <w:pStyle w:val="85"/>
                    <w:spacing w:line="240" w:lineRule="auto"/>
                    <w:rPr>
                      <w:rFonts w:ascii="Times New Roman" w:hAnsi="Times New Roman" w:cs="Times New Roman"/>
                      <w:color w:val="auto"/>
                    </w:rPr>
                  </w:pPr>
                  <w:r>
                    <w:rPr>
                      <w:rFonts w:hint="eastAsia" w:ascii="Times New Roman" w:hAnsi="Times New Roman" w:cs="Times New Roman"/>
                      <w:color w:val="auto"/>
                    </w:rPr>
                    <w:t>53.8</w:t>
                  </w:r>
                </w:p>
              </w:tc>
              <w:tc>
                <w:tcPr>
                  <w:tcW w:w="1015" w:type="pct"/>
                  <w:noWrap w:val="0"/>
                  <w:vAlign w:val="center"/>
                </w:tcPr>
                <w:p w14:paraId="584CC287">
                  <w:pPr>
                    <w:pStyle w:val="85"/>
                    <w:spacing w:line="240" w:lineRule="auto"/>
                    <w:rPr>
                      <w:rFonts w:ascii="Times New Roman" w:hAnsi="Times New Roman" w:cs="Times New Roman"/>
                      <w:color w:val="auto"/>
                    </w:rPr>
                  </w:pPr>
                  <w:r>
                    <w:rPr>
                      <w:rFonts w:hint="eastAsia" w:ascii="Times New Roman" w:hAnsi="Times New Roman" w:cs="Times New Roman"/>
                      <w:color w:val="auto"/>
                    </w:rPr>
                    <w:t>46.0</w:t>
                  </w:r>
                </w:p>
              </w:tc>
            </w:tr>
            <w:tr w14:paraId="1C934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58" w:hRule="atLeast"/>
              </w:trPr>
              <w:tc>
                <w:tcPr>
                  <w:tcW w:w="2041" w:type="pct"/>
                  <w:vMerge w:val="continue"/>
                  <w:noWrap w:val="0"/>
                  <w:vAlign w:val="center"/>
                </w:tcPr>
                <w:p w14:paraId="0359596D">
                  <w:pPr>
                    <w:pStyle w:val="85"/>
                    <w:spacing w:line="240" w:lineRule="auto"/>
                    <w:rPr>
                      <w:rFonts w:ascii="Times New Roman" w:hAnsi="Times New Roman" w:cs="Times New Roman"/>
                      <w:color w:val="auto"/>
                    </w:rPr>
                  </w:pPr>
                </w:p>
              </w:tc>
              <w:tc>
                <w:tcPr>
                  <w:tcW w:w="930" w:type="pct"/>
                  <w:noWrap w:val="0"/>
                  <w:vAlign w:val="center"/>
                </w:tcPr>
                <w:p w14:paraId="24AF46CC">
                  <w:pPr>
                    <w:pStyle w:val="85"/>
                    <w:spacing w:line="240" w:lineRule="auto"/>
                    <w:rPr>
                      <w:rFonts w:hint="eastAsia" w:ascii="Times New Roman" w:hAnsi="Times New Roman" w:cs="Times New Roman"/>
                      <w:color w:val="auto"/>
                    </w:rPr>
                  </w:pPr>
                  <w:r>
                    <w:rPr>
                      <w:rFonts w:ascii="Times New Roman" w:hAnsi="Times New Roman" w:cs="Times New Roman"/>
                      <w:color w:val="auto"/>
                    </w:rPr>
                    <w:t xml:space="preserve">厂界北侧外 </w:t>
                  </w:r>
                  <w:r>
                    <w:rPr>
                      <w:rFonts w:hint="eastAsia" w:ascii="Times New Roman" w:hAnsi="Times New Roman" w:cs="Times New Roman"/>
                      <w:color w:val="auto"/>
                    </w:rPr>
                    <w:t>N</w:t>
                  </w:r>
                  <w:r>
                    <w:rPr>
                      <w:rFonts w:ascii="Times New Roman" w:hAnsi="Times New Roman" w:cs="Times New Roman"/>
                      <w:color w:val="auto"/>
                    </w:rPr>
                    <w:t>4</w:t>
                  </w:r>
                </w:p>
              </w:tc>
              <w:tc>
                <w:tcPr>
                  <w:tcW w:w="1013" w:type="pct"/>
                  <w:noWrap w:val="0"/>
                  <w:vAlign w:val="center"/>
                </w:tcPr>
                <w:p w14:paraId="1FF4AB7A">
                  <w:pPr>
                    <w:pStyle w:val="85"/>
                    <w:spacing w:line="240" w:lineRule="auto"/>
                    <w:rPr>
                      <w:rFonts w:ascii="Times New Roman" w:hAnsi="Times New Roman" w:cs="Times New Roman"/>
                      <w:color w:val="auto"/>
                    </w:rPr>
                  </w:pPr>
                  <w:r>
                    <w:rPr>
                      <w:rFonts w:hint="eastAsia" w:ascii="Times New Roman" w:hAnsi="Times New Roman" w:cs="Times New Roman"/>
                      <w:color w:val="auto"/>
                    </w:rPr>
                    <w:t>52.5</w:t>
                  </w:r>
                </w:p>
              </w:tc>
              <w:tc>
                <w:tcPr>
                  <w:tcW w:w="1015" w:type="pct"/>
                  <w:noWrap w:val="0"/>
                  <w:vAlign w:val="center"/>
                </w:tcPr>
                <w:p w14:paraId="75A96618">
                  <w:pPr>
                    <w:pStyle w:val="85"/>
                    <w:spacing w:line="240" w:lineRule="auto"/>
                    <w:rPr>
                      <w:rFonts w:ascii="Times New Roman" w:hAnsi="Times New Roman" w:cs="Times New Roman"/>
                      <w:color w:val="auto"/>
                    </w:rPr>
                  </w:pPr>
                  <w:r>
                    <w:rPr>
                      <w:rFonts w:hint="eastAsia" w:ascii="Times New Roman" w:hAnsi="Times New Roman" w:cs="Times New Roman"/>
                      <w:color w:val="auto"/>
                    </w:rPr>
                    <w:t>46.1</w:t>
                  </w:r>
                </w:p>
              </w:tc>
            </w:tr>
            <w:tr w14:paraId="1E7B88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157" w:hRule="atLeast"/>
              </w:trPr>
              <w:tc>
                <w:tcPr>
                  <w:tcW w:w="2971" w:type="pct"/>
                  <w:gridSpan w:val="2"/>
                  <w:noWrap w:val="0"/>
                  <w:vAlign w:val="center"/>
                </w:tcPr>
                <w:p w14:paraId="12D7320D">
                  <w:pPr>
                    <w:pStyle w:val="85"/>
                    <w:spacing w:line="240" w:lineRule="auto"/>
                    <w:rPr>
                      <w:rFonts w:ascii="Times New Roman" w:hAnsi="Times New Roman" w:cs="Times New Roman"/>
                      <w:color w:val="auto"/>
                    </w:rPr>
                  </w:pPr>
                  <w:r>
                    <w:rPr>
                      <w:rFonts w:hint="eastAsia" w:ascii="Times New Roman" w:hAnsi="Times New Roman" w:cs="Times New Roman"/>
                      <w:color w:val="auto"/>
                    </w:rPr>
                    <w:t>厂界周边</w:t>
                  </w:r>
                  <w:r>
                    <w:rPr>
                      <w:rFonts w:ascii="Times New Roman" w:hAnsi="Times New Roman" w:cs="Times New Roman"/>
                      <w:color w:val="auto"/>
                    </w:rPr>
                    <w:t>标准值(dB(A)</w:t>
                  </w:r>
                </w:p>
              </w:tc>
              <w:tc>
                <w:tcPr>
                  <w:tcW w:w="1013" w:type="pct"/>
                  <w:noWrap w:val="0"/>
                  <w:vAlign w:val="center"/>
                </w:tcPr>
                <w:p w14:paraId="1DFF3D19">
                  <w:pPr>
                    <w:pStyle w:val="85"/>
                    <w:spacing w:line="240" w:lineRule="auto"/>
                    <w:rPr>
                      <w:rFonts w:hint="eastAsia"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5</w:t>
                  </w:r>
                </w:p>
              </w:tc>
              <w:tc>
                <w:tcPr>
                  <w:tcW w:w="1015" w:type="pct"/>
                  <w:noWrap w:val="0"/>
                  <w:vAlign w:val="center"/>
                </w:tcPr>
                <w:p w14:paraId="71731E35">
                  <w:pPr>
                    <w:pStyle w:val="85"/>
                    <w:spacing w:line="240" w:lineRule="auto"/>
                    <w:rPr>
                      <w:rFonts w:hint="eastAsia" w:ascii="Times New Roman" w:hAnsi="Times New Roman" w:cs="Times New Roman"/>
                      <w:color w:val="auto"/>
                    </w:rPr>
                  </w:pPr>
                  <w:r>
                    <w:rPr>
                      <w:rFonts w:ascii="Times New Roman" w:hAnsi="Times New Roman" w:cs="Times New Roman"/>
                      <w:color w:val="auto"/>
                    </w:rPr>
                    <w:t>5</w:t>
                  </w:r>
                  <w:r>
                    <w:rPr>
                      <w:rFonts w:hint="eastAsia" w:ascii="Times New Roman" w:hAnsi="Times New Roman" w:cs="Times New Roman"/>
                      <w:color w:val="auto"/>
                    </w:rPr>
                    <w:t>5</w:t>
                  </w:r>
                </w:p>
              </w:tc>
            </w:tr>
            <w:tr w14:paraId="0BC1F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8" w:type="dxa"/>
                  <w:left w:w="0" w:type="dxa"/>
                  <w:bottom w:w="28" w:type="dxa"/>
                  <w:right w:w="0" w:type="dxa"/>
                </w:tblCellMar>
              </w:tblPrEx>
              <w:trPr>
                <w:trHeight w:val="161" w:hRule="atLeast"/>
              </w:trPr>
              <w:tc>
                <w:tcPr>
                  <w:tcW w:w="2971" w:type="pct"/>
                  <w:gridSpan w:val="2"/>
                  <w:noWrap w:val="0"/>
                  <w:vAlign w:val="center"/>
                </w:tcPr>
                <w:p w14:paraId="6CF97ACB">
                  <w:pPr>
                    <w:pStyle w:val="85"/>
                    <w:spacing w:line="240" w:lineRule="auto"/>
                    <w:rPr>
                      <w:rFonts w:ascii="Times New Roman" w:hAnsi="Times New Roman" w:cs="Times New Roman"/>
                      <w:color w:val="auto"/>
                    </w:rPr>
                  </w:pPr>
                  <w:r>
                    <w:rPr>
                      <w:rFonts w:ascii="Times New Roman" w:hAnsi="Times New Roman" w:cs="Times New Roman"/>
                      <w:color w:val="auto"/>
                    </w:rPr>
                    <w:t>达标情况</w:t>
                  </w:r>
                </w:p>
              </w:tc>
              <w:tc>
                <w:tcPr>
                  <w:tcW w:w="1013" w:type="pct"/>
                  <w:noWrap w:val="0"/>
                  <w:vAlign w:val="center"/>
                </w:tcPr>
                <w:p w14:paraId="63E9865E">
                  <w:pPr>
                    <w:pStyle w:val="85"/>
                    <w:spacing w:line="240" w:lineRule="auto"/>
                    <w:rPr>
                      <w:rFonts w:ascii="Times New Roman" w:hAnsi="Times New Roman" w:cs="Times New Roman"/>
                      <w:color w:val="auto"/>
                    </w:rPr>
                  </w:pPr>
                  <w:r>
                    <w:rPr>
                      <w:rFonts w:ascii="Times New Roman" w:hAnsi="Times New Roman" w:cs="Times New Roman"/>
                      <w:color w:val="auto"/>
                    </w:rPr>
                    <w:t>达标</w:t>
                  </w:r>
                </w:p>
              </w:tc>
              <w:tc>
                <w:tcPr>
                  <w:tcW w:w="1015" w:type="pct"/>
                  <w:noWrap w:val="0"/>
                  <w:vAlign w:val="center"/>
                </w:tcPr>
                <w:p w14:paraId="5FFEFFF0">
                  <w:pPr>
                    <w:pStyle w:val="85"/>
                    <w:spacing w:line="240" w:lineRule="auto"/>
                    <w:rPr>
                      <w:rFonts w:ascii="Times New Roman" w:hAnsi="Times New Roman" w:cs="Times New Roman"/>
                      <w:color w:val="auto"/>
                    </w:rPr>
                  </w:pPr>
                  <w:r>
                    <w:rPr>
                      <w:rFonts w:ascii="Times New Roman" w:hAnsi="Times New Roman" w:cs="Times New Roman"/>
                      <w:color w:val="auto"/>
                    </w:rPr>
                    <w:t>达标</w:t>
                  </w:r>
                </w:p>
              </w:tc>
            </w:tr>
          </w:tbl>
          <w:p w14:paraId="2C437EDF">
            <w:pPr>
              <w:widowControl/>
              <w:spacing w:line="500" w:lineRule="atLeas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由上表可知，项目厂界声环境现状监测结果符合《工业企业厂界环境噪声排放标准》（GB12348-2008）中3类标准要求。</w:t>
            </w:r>
          </w:p>
          <w:p w14:paraId="79F53348">
            <w:pPr>
              <w:pStyle w:val="5"/>
              <w:rPr>
                <w:rFonts w:hint="eastAsia" w:ascii="Times New Roman" w:hAnsi="Times New Roman" w:eastAsia="宋体" w:cs="Times New Roman"/>
                <w:color w:val="auto"/>
                <w:sz w:val="24"/>
                <w:lang w:val="en-US" w:eastAsia="zh-CN"/>
              </w:rPr>
            </w:pPr>
          </w:p>
          <w:p w14:paraId="59DBE9B3">
            <w:pPr>
              <w:widowControl/>
              <w:spacing w:line="240" w:lineRule="auto"/>
              <w:ind w:firstLine="0" w:firstLineChars="0"/>
              <w:jc w:val="both"/>
              <w:rPr>
                <w:rFonts w:hint="eastAsia"/>
                <w:color w:val="auto"/>
                <w:sz w:val="24"/>
                <w:lang w:val="en-US" w:eastAsia="zh-CN"/>
              </w:rPr>
            </w:pPr>
          </w:p>
          <w:p w14:paraId="4F1755B4">
            <w:pPr>
              <w:widowControl/>
              <w:spacing w:line="240" w:lineRule="auto"/>
              <w:ind w:firstLine="0" w:firstLineChars="0"/>
              <w:rPr>
                <w:rFonts w:hint="eastAsia"/>
                <w:color w:val="auto"/>
                <w:sz w:val="24"/>
                <w:lang w:val="en-US" w:eastAsia="zh-CN"/>
              </w:rPr>
            </w:pPr>
          </w:p>
          <w:p w14:paraId="774E8041">
            <w:pPr>
              <w:jc w:val="both"/>
              <w:rPr>
                <w:color w:val="auto"/>
              </w:rPr>
            </w:pPr>
          </w:p>
        </w:tc>
      </w:tr>
      <w:tr w14:paraId="2F820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vAlign w:val="center"/>
          </w:tcPr>
          <w:p w14:paraId="10DAC7BE">
            <w:pPr>
              <w:adjustRightInd w:val="0"/>
              <w:snapToGrid w:val="0"/>
              <w:jc w:val="center"/>
              <w:rPr>
                <w:rFonts w:ascii="宋体" w:hAnsi="宋体" w:cs="宋体"/>
                <w:color w:val="auto"/>
                <w:kern w:val="0"/>
                <w:sz w:val="24"/>
              </w:rPr>
            </w:pPr>
            <w:r>
              <w:rPr>
                <w:rFonts w:hint="eastAsia" w:ascii="宋体" w:hAnsi="宋体" w:cs="宋体"/>
                <w:color w:val="auto"/>
                <w:kern w:val="0"/>
                <w:sz w:val="24"/>
              </w:rPr>
              <w:t>环境保护目标</w:t>
            </w:r>
          </w:p>
        </w:tc>
        <w:tc>
          <w:tcPr>
            <w:tcW w:w="7882" w:type="dxa"/>
            <w:vAlign w:val="center"/>
          </w:tcPr>
          <w:p w14:paraId="41A5CED7">
            <w:pPr>
              <w:spacing w:line="500" w:lineRule="exact"/>
              <w:ind w:firstLine="480" w:firstLineChars="200"/>
              <w:rPr>
                <w:color w:val="auto"/>
                <w:sz w:val="24"/>
                <w:szCs w:val="32"/>
              </w:rPr>
            </w:pPr>
            <w:r>
              <w:rPr>
                <w:rFonts w:hint="eastAsia"/>
                <w:color w:val="auto"/>
                <w:sz w:val="24"/>
                <w:szCs w:val="32"/>
              </w:rPr>
              <w:t>本项目位于</w:t>
            </w:r>
            <w:r>
              <w:rPr>
                <w:color w:val="auto"/>
                <w:sz w:val="24"/>
                <w:szCs w:val="32"/>
              </w:rPr>
              <w:t>安徽省蚌埠市龙子湖区</w:t>
            </w:r>
            <w:r>
              <w:rPr>
                <w:rFonts w:hint="eastAsia"/>
                <w:color w:val="auto"/>
                <w:sz w:val="24"/>
                <w:szCs w:val="32"/>
                <w:lang w:val="en-US" w:eastAsia="zh-CN"/>
              </w:rPr>
              <w:t>胜利东路9号</w:t>
            </w:r>
            <w:r>
              <w:rPr>
                <w:rFonts w:hint="eastAsia"/>
                <w:color w:val="auto"/>
                <w:sz w:val="24"/>
                <w:szCs w:val="32"/>
              </w:rPr>
              <w:t>，租赁</w:t>
            </w:r>
            <w:r>
              <w:rPr>
                <w:rFonts w:hint="eastAsia"/>
                <w:color w:val="auto"/>
                <w:sz w:val="24"/>
                <w:szCs w:val="32"/>
                <w:lang w:val="en-US" w:eastAsia="zh-CN"/>
              </w:rPr>
              <w:t>安徽瑞龙玻璃机械股份有限公司</w:t>
            </w:r>
            <w:r>
              <w:rPr>
                <w:color w:val="auto"/>
                <w:sz w:val="24"/>
                <w:szCs w:val="32"/>
              </w:rPr>
              <w:t>已建成的标准化厂房。</w:t>
            </w:r>
            <w:r>
              <w:rPr>
                <w:rFonts w:hint="eastAsia"/>
                <w:color w:val="auto"/>
                <w:sz w:val="24"/>
                <w:szCs w:val="32"/>
              </w:rPr>
              <w:t>根据现场踏勘，本项目厂界外500m范围内无自然保护区、风景名胜区等保护目标；厂界外500m范围内无地下水集中式饮用水水源和热水、矿泉水、温泉等特殊地下水资源，总体上不因本项目的实施而改变区域环境现有功能。具体环境保护目标如下：</w:t>
            </w:r>
            <w:r>
              <w:rPr>
                <w:color w:val="auto"/>
                <w:sz w:val="24"/>
                <w:szCs w:val="32"/>
              </w:rPr>
              <w:t>：</w:t>
            </w:r>
          </w:p>
          <w:p w14:paraId="661DE094">
            <w:pPr>
              <w:spacing w:line="500" w:lineRule="exact"/>
              <w:ind w:firstLine="0" w:firstLineChars="0"/>
              <w:jc w:val="center"/>
              <w:rPr>
                <w:rFonts w:hint="eastAsia"/>
                <w:color w:val="auto"/>
                <w:lang w:eastAsia="zh-CN"/>
              </w:rPr>
            </w:pPr>
            <w:r>
              <w:rPr>
                <w:color w:val="auto"/>
              </w:rPr>
              <w:t>表3</w:t>
            </w:r>
            <w:r>
              <w:rPr>
                <w:rFonts w:hint="eastAsia"/>
                <w:color w:val="auto"/>
                <w:lang w:val="en-US" w:eastAsia="zh-CN"/>
              </w:rPr>
              <w:t>-3</w:t>
            </w:r>
            <w:r>
              <w:rPr>
                <w:color w:val="auto"/>
              </w:rPr>
              <w:t xml:space="preserve">  主要环境保护目标</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09"/>
              <w:gridCol w:w="935"/>
              <w:gridCol w:w="737"/>
              <w:gridCol w:w="814"/>
              <w:gridCol w:w="1522"/>
              <w:gridCol w:w="879"/>
              <w:gridCol w:w="1148"/>
            </w:tblGrid>
            <w:tr w14:paraId="5130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pct"/>
                  <w:vMerge w:val="restart"/>
                  <w:noWrap w:val="0"/>
                  <w:vAlign w:val="center"/>
                </w:tcPr>
                <w:p w14:paraId="7388A8FA">
                  <w:pPr>
                    <w:spacing w:line="500" w:lineRule="exact"/>
                    <w:ind w:firstLine="0" w:firstLineChars="0"/>
                    <w:jc w:val="center"/>
                    <w:rPr>
                      <w:color w:val="auto"/>
                    </w:rPr>
                  </w:pPr>
                  <w:r>
                    <w:rPr>
                      <w:color w:val="auto"/>
                    </w:rPr>
                    <w:t>名称</w:t>
                  </w:r>
                </w:p>
              </w:tc>
              <w:tc>
                <w:tcPr>
                  <w:tcW w:w="1237" w:type="pct"/>
                  <w:gridSpan w:val="2"/>
                  <w:noWrap w:val="0"/>
                  <w:vAlign w:val="center"/>
                </w:tcPr>
                <w:p w14:paraId="55E6D5BA">
                  <w:pPr>
                    <w:spacing w:line="500" w:lineRule="exact"/>
                    <w:jc w:val="center"/>
                    <w:rPr>
                      <w:color w:val="auto"/>
                    </w:rPr>
                  </w:pPr>
                  <w:r>
                    <w:rPr>
                      <w:color w:val="auto"/>
                    </w:rPr>
                    <w:t>坐标（m）</w:t>
                  </w:r>
                </w:p>
              </w:tc>
              <w:tc>
                <w:tcPr>
                  <w:tcW w:w="469" w:type="pct"/>
                  <w:vMerge w:val="restart"/>
                  <w:noWrap w:val="0"/>
                  <w:vAlign w:val="center"/>
                </w:tcPr>
                <w:p w14:paraId="0F5E612B">
                  <w:pPr>
                    <w:spacing w:line="500" w:lineRule="exact"/>
                    <w:ind w:firstLine="0" w:firstLineChars="0"/>
                    <w:jc w:val="center"/>
                    <w:rPr>
                      <w:color w:val="auto"/>
                    </w:rPr>
                  </w:pPr>
                  <w:r>
                    <w:rPr>
                      <w:color w:val="auto"/>
                    </w:rPr>
                    <w:t>保护对象</w:t>
                  </w:r>
                </w:p>
              </w:tc>
              <w:tc>
                <w:tcPr>
                  <w:tcW w:w="518" w:type="pct"/>
                  <w:vMerge w:val="restart"/>
                  <w:noWrap w:val="0"/>
                  <w:vAlign w:val="center"/>
                </w:tcPr>
                <w:p w14:paraId="7F0003A4">
                  <w:pPr>
                    <w:spacing w:line="500" w:lineRule="exact"/>
                    <w:ind w:firstLine="0" w:firstLineChars="0"/>
                    <w:jc w:val="center"/>
                    <w:rPr>
                      <w:color w:val="auto"/>
                    </w:rPr>
                  </w:pPr>
                  <w:r>
                    <w:rPr>
                      <w:color w:val="auto"/>
                    </w:rPr>
                    <w:t>保护</w:t>
                  </w:r>
                  <w:r>
                    <w:rPr>
                      <w:rFonts w:hint="eastAsia"/>
                      <w:color w:val="auto"/>
                      <w:lang w:val="en-US" w:eastAsia="zh-CN"/>
                    </w:rPr>
                    <w:t>内</w:t>
                  </w:r>
                  <w:r>
                    <w:rPr>
                      <w:color w:val="auto"/>
                    </w:rPr>
                    <w:t>容</w:t>
                  </w:r>
                </w:p>
              </w:tc>
              <w:tc>
                <w:tcPr>
                  <w:tcW w:w="968" w:type="pct"/>
                  <w:vMerge w:val="restart"/>
                  <w:noWrap w:val="0"/>
                  <w:vAlign w:val="center"/>
                </w:tcPr>
                <w:p w14:paraId="2153887F">
                  <w:pPr>
                    <w:spacing w:line="500" w:lineRule="exact"/>
                    <w:ind w:firstLine="210" w:firstLineChars="100"/>
                    <w:jc w:val="both"/>
                    <w:rPr>
                      <w:color w:val="auto"/>
                    </w:rPr>
                  </w:pPr>
                  <w:r>
                    <w:rPr>
                      <w:color w:val="auto"/>
                    </w:rPr>
                    <w:t>环境功能区</w:t>
                  </w:r>
                </w:p>
              </w:tc>
              <w:tc>
                <w:tcPr>
                  <w:tcW w:w="559" w:type="pct"/>
                  <w:vMerge w:val="restart"/>
                  <w:noWrap w:val="0"/>
                  <w:vAlign w:val="center"/>
                </w:tcPr>
                <w:p w14:paraId="230A1762">
                  <w:pPr>
                    <w:spacing w:line="500" w:lineRule="exact"/>
                    <w:ind w:firstLine="0" w:firstLineChars="0"/>
                    <w:jc w:val="center"/>
                    <w:rPr>
                      <w:color w:val="auto"/>
                    </w:rPr>
                  </w:pPr>
                  <w:r>
                    <w:rPr>
                      <w:color w:val="auto"/>
                    </w:rPr>
                    <w:t>相对厂址方位</w:t>
                  </w:r>
                </w:p>
              </w:tc>
              <w:tc>
                <w:tcPr>
                  <w:tcW w:w="730" w:type="pct"/>
                  <w:vMerge w:val="restart"/>
                  <w:noWrap w:val="0"/>
                  <w:vAlign w:val="center"/>
                </w:tcPr>
                <w:p w14:paraId="48FC01B8">
                  <w:pPr>
                    <w:spacing w:line="500" w:lineRule="exact"/>
                    <w:ind w:firstLine="0" w:firstLineChars="0"/>
                    <w:jc w:val="center"/>
                    <w:rPr>
                      <w:color w:val="auto"/>
                    </w:rPr>
                  </w:pPr>
                  <w:r>
                    <w:rPr>
                      <w:color w:val="auto"/>
                    </w:rPr>
                    <w:t>相对厂界距离（m）</w:t>
                  </w:r>
                </w:p>
              </w:tc>
            </w:tr>
            <w:tr w14:paraId="0E67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pct"/>
                  <w:vMerge w:val="continue"/>
                  <w:noWrap w:val="0"/>
                  <w:vAlign w:val="center"/>
                </w:tcPr>
                <w:p w14:paraId="43339664">
                  <w:pPr>
                    <w:spacing w:line="500" w:lineRule="exact"/>
                    <w:ind w:firstLine="420" w:firstLineChars="200"/>
                    <w:jc w:val="center"/>
                    <w:rPr>
                      <w:color w:val="auto"/>
                    </w:rPr>
                  </w:pPr>
                </w:p>
              </w:tc>
              <w:tc>
                <w:tcPr>
                  <w:tcW w:w="642" w:type="pct"/>
                  <w:noWrap w:val="0"/>
                  <w:vAlign w:val="center"/>
                </w:tcPr>
                <w:p w14:paraId="0734BAF2">
                  <w:pPr>
                    <w:spacing w:line="500" w:lineRule="exact"/>
                    <w:jc w:val="center"/>
                    <w:rPr>
                      <w:rFonts w:hint="eastAsia"/>
                      <w:color w:val="auto"/>
                      <w:lang w:eastAsia="zh-CN"/>
                    </w:rPr>
                  </w:pPr>
                  <w:r>
                    <w:rPr>
                      <w:rFonts w:hint="eastAsia"/>
                      <w:color w:val="auto"/>
                      <w:lang w:val="en-US" w:eastAsia="zh-CN"/>
                    </w:rPr>
                    <w:t>经度</w:t>
                  </w:r>
                </w:p>
              </w:tc>
              <w:tc>
                <w:tcPr>
                  <w:tcW w:w="595" w:type="pct"/>
                  <w:noWrap w:val="0"/>
                  <w:vAlign w:val="center"/>
                </w:tcPr>
                <w:p w14:paraId="7366B406">
                  <w:pPr>
                    <w:spacing w:line="500" w:lineRule="exact"/>
                    <w:ind w:firstLine="0" w:firstLineChars="0"/>
                    <w:jc w:val="center"/>
                    <w:rPr>
                      <w:rFonts w:hint="eastAsia"/>
                      <w:color w:val="auto"/>
                      <w:lang w:eastAsia="zh-CN"/>
                    </w:rPr>
                  </w:pPr>
                  <w:r>
                    <w:rPr>
                      <w:rFonts w:hint="eastAsia"/>
                      <w:color w:val="auto"/>
                      <w:lang w:val="en-US" w:eastAsia="zh-CN"/>
                    </w:rPr>
                    <w:t>纬度</w:t>
                  </w:r>
                </w:p>
              </w:tc>
              <w:tc>
                <w:tcPr>
                  <w:tcW w:w="469" w:type="pct"/>
                  <w:vMerge w:val="continue"/>
                  <w:noWrap w:val="0"/>
                  <w:vAlign w:val="center"/>
                </w:tcPr>
                <w:p w14:paraId="434E5B69">
                  <w:pPr>
                    <w:spacing w:line="500" w:lineRule="exact"/>
                    <w:ind w:firstLine="420" w:firstLineChars="200"/>
                    <w:jc w:val="center"/>
                    <w:rPr>
                      <w:color w:val="auto"/>
                    </w:rPr>
                  </w:pPr>
                </w:p>
              </w:tc>
              <w:tc>
                <w:tcPr>
                  <w:tcW w:w="518" w:type="pct"/>
                  <w:vMerge w:val="continue"/>
                  <w:noWrap w:val="0"/>
                  <w:vAlign w:val="center"/>
                </w:tcPr>
                <w:p w14:paraId="35D4636B">
                  <w:pPr>
                    <w:spacing w:line="500" w:lineRule="exact"/>
                    <w:ind w:firstLine="420" w:firstLineChars="200"/>
                    <w:jc w:val="center"/>
                    <w:rPr>
                      <w:color w:val="auto"/>
                    </w:rPr>
                  </w:pPr>
                </w:p>
              </w:tc>
              <w:tc>
                <w:tcPr>
                  <w:tcW w:w="968" w:type="pct"/>
                  <w:vMerge w:val="continue"/>
                  <w:noWrap w:val="0"/>
                  <w:vAlign w:val="center"/>
                </w:tcPr>
                <w:p w14:paraId="0798812B">
                  <w:pPr>
                    <w:spacing w:line="500" w:lineRule="exact"/>
                    <w:ind w:firstLine="420" w:firstLineChars="200"/>
                    <w:jc w:val="center"/>
                    <w:rPr>
                      <w:color w:val="auto"/>
                    </w:rPr>
                  </w:pPr>
                </w:p>
              </w:tc>
              <w:tc>
                <w:tcPr>
                  <w:tcW w:w="559" w:type="pct"/>
                  <w:vMerge w:val="continue"/>
                  <w:noWrap w:val="0"/>
                  <w:vAlign w:val="center"/>
                </w:tcPr>
                <w:p w14:paraId="239E7A46">
                  <w:pPr>
                    <w:spacing w:line="500" w:lineRule="exact"/>
                    <w:ind w:firstLine="420" w:firstLineChars="200"/>
                    <w:jc w:val="center"/>
                    <w:rPr>
                      <w:color w:val="auto"/>
                    </w:rPr>
                  </w:pPr>
                </w:p>
              </w:tc>
              <w:tc>
                <w:tcPr>
                  <w:tcW w:w="730" w:type="pct"/>
                  <w:vMerge w:val="continue"/>
                  <w:noWrap w:val="0"/>
                  <w:vAlign w:val="center"/>
                </w:tcPr>
                <w:p w14:paraId="4951EDDB">
                  <w:pPr>
                    <w:spacing w:line="500" w:lineRule="exact"/>
                    <w:ind w:firstLine="420" w:firstLineChars="200"/>
                    <w:jc w:val="center"/>
                    <w:rPr>
                      <w:color w:val="auto"/>
                    </w:rPr>
                  </w:pPr>
                </w:p>
              </w:tc>
            </w:tr>
            <w:tr w14:paraId="086C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4" w:type="pct"/>
                  <w:noWrap w:val="0"/>
                  <w:vAlign w:val="center"/>
                </w:tcPr>
                <w:p w14:paraId="02735416">
                  <w:pPr>
                    <w:spacing w:line="500" w:lineRule="exact"/>
                    <w:ind w:firstLine="0" w:firstLineChars="0"/>
                    <w:jc w:val="center"/>
                    <w:rPr>
                      <w:color w:val="auto"/>
                    </w:rPr>
                  </w:pPr>
                  <w:r>
                    <w:rPr>
                      <w:color w:val="auto"/>
                    </w:rPr>
                    <w:t>地表水</w:t>
                  </w:r>
                </w:p>
              </w:tc>
              <w:tc>
                <w:tcPr>
                  <w:tcW w:w="642" w:type="pct"/>
                  <w:noWrap w:val="0"/>
                  <w:vAlign w:val="center"/>
                </w:tcPr>
                <w:p w14:paraId="5272534F">
                  <w:pPr>
                    <w:spacing w:line="500" w:lineRule="exact"/>
                    <w:ind w:firstLine="0" w:firstLineChars="0"/>
                    <w:jc w:val="center"/>
                    <w:rPr>
                      <w:rFonts w:hint="default"/>
                      <w:color w:val="auto"/>
                      <w:lang w:val="en-US" w:eastAsia="zh-CN"/>
                    </w:rPr>
                  </w:pPr>
                  <w:r>
                    <w:rPr>
                      <w:rFonts w:hint="eastAsia"/>
                      <w:color w:val="auto"/>
                      <w:lang w:val="en-US" w:eastAsia="zh-CN"/>
                    </w:rPr>
                    <w:t>117.2804</w:t>
                  </w:r>
                </w:p>
              </w:tc>
              <w:tc>
                <w:tcPr>
                  <w:tcW w:w="595" w:type="pct"/>
                  <w:noWrap w:val="0"/>
                  <w:vAlign w:val="center"/>
                </w:tcPr>
                <w:p w14:paraId="6490F889">
                  <w:pPr>
                    <w:spacing w:line="500" w:lineRule="exact"/>
                    <w:ind w:firstLine="0" w:firstLineChars="0"/>
                    <w:jc w:val="center"/>
                    <w:rPr>
                      <w:rFonts w:hint="default"/>
                      <w:color w:val="auto"/>
                      <w:lang w:val="en-US" w:eastAsia="zh-CN"/>
                    </w:rPr>
                  </w:pPr>
                  <w:r>
                    <w:rPr>
                      <w:rFonts w:hint="eastAsia"/>
                      <w:color w:val="auto"/>
                      <w:lang w:val="en-US" w:eastAsia="zh-CN"/>
                    </w:rPr>
                    <w:t>32.9499</w:t>
                  </w:r>
                </w:p>
              </w:tc>
              <w:tc>
                <w:tcPr>
                  <w:tcW w:w="469" w:type="pct"/>
                  <w:noWrap w:val="0"/>
                  <w:vAlign w:val="center"/>
                </w:tcPr>
                <w:p w14:paraId="448923A2">
                  <w:pPr>
                    <w:spacing w:line="500" w:lineRule="exact"/>
                    <w:ind w:firstLine="0" w:firstLineChars="0"/>
                    <w:jc w:val="center"/>
                    <w:rPr>
                      <w:color w:val="auto"/>
                    </w:rPr>
                  </w:pPr>
                  <w:r>
                    <w:rPr>
                      <w:color w:val="auto"/>
                    </w:rPr>
                    <w:t>淮河</w:t>
                  </w:r>
                </w:p>
              </w:tc>
              <w:tc>
                <w:tcPr>
                  <w:tcW w:w="518" w:type="pct"/>
                  <w:noWrap w:val="0"/>
                  <w:vAlign w:val="center"/>
                </w:tcPr>
                <w:p w14:paraId="556742BE">
                  <w:pPr>
                    <w:spacing w:line="500" w:lineRule="exact"/>
                    <w:ind w:firstLine="0" w:firstLineChars="0"/>
                    <w:jc w:val="center"/>
                    <w:rPr>
                      <w:color w:val="auto"/>
                    </w:rPr>
                  </w:pPr>
                  <w:r>
                    <w:rPr>
                      <w:color w:val="auto"/>
                    </w:rPr>
                    <w:t>大河</w:t>
                  </w:r>
                </w:p>
              </w:tc>
              <w:tc>
                <w:tcPr>
                  <w:tcW w:w="968" w:type="pct"/>
                  <w:noWrap w:val="0"/>
                  <w:vAlign w:val="center"/>
                </w:tcPr>
                <w:p w14:paraId="56DBD9F1">
                  <w:pPr>
                    <w:spacing w:line="500" w:lineRule="exact"/>
                    <w:ind w:firstLine="0" w:firstLineChars="0"/>
                    <w:jc w:val="center"/>
                    <w:rPr>
                      <w:color w:val="auto"/>
                    </w:rPr>
                  </w:pPr>
                  <w:r>
                    <w:rPr>
                      <w:color w:val="auto"/>
                    </w:rPr>
                    <w:t>GB3838-2002中Ⅲ类</w:t>
                  </w:r>
                </w:p>
              </w:tc>
              <w:tc>
                <w:tcPr>
                  <w:tcW w:w="559" w:type="pct"/>
                  <w:noWrap w:val="0"/>
                  <w:vAlign w:val="center"/>
                </w:tcPr>
                <w:p w14:paraId="690DE4CC">
                  <w:pPr>
                    <w:spacing w:line="500" w:lineRule="exact"/>
                    <w:jc w:val="center"/>
                    <w:rPr>
                      <w:rFonts w:hint="eastAsia"/>
                      <w:color w:val="auto"/>
                      <w:lang w:eastAsia="zh-CN"/>
                    </w:rPr>
                  </w:pPr>
                  <w:r>
                    <w:rPr>
                      <w:rFonts w:hint="eastAsia"/>
                      <w:color w:val="auto"/>
                      <w:lang w:val="en-US" w:eastAsia="zh-CN"/>
                    </w:rPr>
                    <w:t>N</w:t>
                  </w:r>
                </w:p>
              </w:tc>
              <w:tc>
                <w:tcPr>
                  <w:tcW w:w="730" w:type="pct"/>
                  <w:noWrap w:val="0"/>
                  <w:vAlign w:val="center"/>
                </w:tcPr>
                <w:p w14:paraId="72C1B271">
                  <w:pPr>
                    <w:spacing w:line="500" w:lineRule="exact"/>
                    <w:ind w:firstLine="420" w:firstLineChars="200"/>
                    <w:jc w:val="center"/>
                    <w:rPr>
                      <w:rFonts w:hint="default"/>
                      <w:color w:val="auto"/>
                      <w:lang w:val="en-US" w:eastAsia="zh-CN"/>
                    </w:rPr>
                  </w:pPr>
                  <w:r>
                    <w:rPr>
                      <w:rFonts w:hint="eastAsia"/>
                      <w:color w:val="auto"/>
                      <w:lang w:val="en-US" w:eastAsia="zh-CN"/>
                    </w:rPr>
                    <w:t>6447</w:t>
                  </w:r>
                </w:p>
              </w:tc>
            </w:tr>
          </w:tbl>
          <w:p w14:paraId="591A353A">
            <w:pPr>
              <w:spacing w:line="500" w:lineRule="exact"/>
              <w:ind w:firstLine="480" w:firstLineChars="200"/>
              <w:rPr>
                <w:rFonts w:hint="eastAsia"/>
                <w:color w:val="auto"/>
                <w:sz w:val="24"/>
                <w:szCs w:val="32"/>
              </w:rPr>
            </w:pPr>
          </w:p>
          <w:p w14:paraId="12A8A017">
            <w:pPr>
              <w:pStyle w:val="5"/>
              <w:rPr>
                <w:color w:val="auto"/>
              </w:rPr>
            </w:pPr>
          </w:p>
        </w:tc>
      </w:tr>
      <w:tr w14:paraId="7B06E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 w:type="dxa"/>
            <w:tcMar>
              <w:left w:w="28" w:type="dxa"/>
              <w:right w:w="28" w:type="dxa"/>
            </w:tcMar>
            <w:vAlign w:val="center"/>
          </w:tcPr>
          <w:p w14:paraId="6201AA99">
            <w:pPr>
              <w:adjustRightInd w:val="0"/>
              <w:snapToGrid w:val="0"/>
              <w:jc w:val="center"/>
              <w:rPr>
                <w:rFonts w:ascii="宋体" w:hAnsi="宋体" w:cs="宋体"/>
                <w:color w:val="auto"/>
                <w:kern w:val="0"/>
                <w:sz w:val="24"/>
              </w:rPr>
            </w:pPr>
            <w:r>
              <w:rPr>
                <w:rFonts w:hint="eastAsia" w:ascii="宋体" w:hAnsi="宋体" w:cs="宋体"/>
                <w:color w:val="auto"/>
                <w:kern w:val="0"/>
                <w:sz w:val="24"/>
              </w:rPr>
              <w:t>污染物排放控制标</w:t>
            </w:r>
          </w:p>
          <w:p w14:paraId="56BA0C24">
            <w:pPr>
              <w:adjustRightInd w:val="0"/>
              <w:snapToGrid w:val="0"/>
              <w:jc w:val="center"/>
              <w:rPr>
                <w:rFonts w:ascii="宋体" w:hAnsi="宋体" w:cs="宋体"/>
                <w:color w:val="auto"/>
                <w:kern w:val="0"/>
                <w:szCs w:val="21"/>
              </w:rPr>
            </w:pPr>
            <w:r>
              <w:rPr>
                <w:rFonts w:hint="eastAsia" w:ascii="宋体" w:hAnsi="宋体" w:cs="宋体"/>
                <w:color w:val="auto"/>
                <w:kern w:val="0"/>
                <w:sz w:val="24"/>
              </w:rPr>
              <w:t>准</w:t>
            </w:r>
          </w:p>
        </w:tc>
        <w:tc>
          <w:tcPr>
            <w:tcW w:w="7882" w:type="dxa"/>
            <w:vAlign w:val="center"/>
          </w:tcPr>
          <w:p w14:paraId="37B77B2C">
            <w:pPr>
              <w:spacing w:line="400" w:lineRule="exact"/>
              <w:ind w:firstLine="482"/>
              <w:jc w:val="both"/>
              <w:rPr>
                <w:b/>
                <w:bCs/>
                <w:color w:val="auto"/>
                <w:sz w:val="24"/>
              </w:rPr>
            </w:pPr>
            <w:r>
              <w:rPr>
                <w:b/>
                <w:bCs/>
                <w:color w:val="auto"/>
                <w:sz w:val="24"/>
              </w:rPr>
              <w:t>1</w:t>
            </w:r>
            <w:r>
              <w:rPr>
                <w:rFonts w:hint="eastAsia"/>
                <w:b/>
                <w:bCs/>
                <w:color w:val="auto"/>
                <w:sz w:val="24"/>
              </w:rPr>
              <w:t>、废水</w:t>
            </w:r>
          </w:p>
          <w:p w14:paraId="6BD4CA97">
            <w:pPr>
              <w:spacing w:line="500" w:lineRule="atLeast"/>
              <w:ind w:firstLine="480" w:firstLineChars="200"/>
              <w:jc w:val="both"/>
              <w:rPr>
                <w:color w:val="auto"/>
                <w:sz w:val="24"/>
              </w:rPr>
            </w:pPr>
            <w:r>
              <w:rPr>
                <w:rFonts w:hint="eastAsia"/>
                <w:color w:val="000000"/>
                <w:sz w:val="24"/>
              </w:rPr>
              <w:t>废水排放执行</w:t>
            </w:r>
            <w:r>
              <w:rPr>
                <w:rFonts w:hint="eastAsia"/>
                <w:color w:val="000000"/>
                <w:sz w:val="24"/>
                <w:lang w:eastAsia="zh-CN"/>
              </w:rPr>
              <w:t>蚌埠市第</w:t>
            </w:r>
            <w:r>
              <w:rPr>
                <w:rFonts w:hint="eastAsia"/>
                <w:color w:val="000000"/>
                <w:sz w:val="24"/>
                <w:lang w:val="en-US" w:eastAsia="zh-CN"/>
              </w:rPr>
              <w:t>二</w:t>
            </w:r>
            <w:r>
              <w:rPr>
                <w:rFonts w:hint="eastAsia"/>
                <w:color w:val="000000"/>
                <w:sz w:val="24"/>
                <w:lang w:eastAsia="zh-CN"/>
              </w:rPr>
              <w:t>污水处</w:t>
            </w:r>
            <w:r>
              <w:rPr>
                <w:rFonts w:hint="eastAsia"/>
                <w:color w:val="auto"/>
                <w:sz w:val="24"/>
                <w:lang w:eastAsia="zh-CN"/>
              </w:rPr>
              <w:t>理厂</w:t>
            </w:r>
            <w:r>
              <w:rPr>
                <w:rFonts w:hint="eastAsia"/>
                <w:color w:val="auto"/>
                <w:sz w:val="24"/>
              </w:rPr>
              <w:t>接管标准，标准没有的执行《污水综合排放标准》（</w:t>
            </w:r>
            <w:r>
              <w:rPr>
                <w:color w:val="auto"/>
                <w:sz w:val="24"/>
              </w:rPr>
              <w:t>GB8978-1996</w:t>
            </w:r>
            <w:r>
              <w:rPr>
                <w:rFonts w:hint="eastAsia"/>
                <w:color w:val="auto"/>
                <w:sz w:val="24"/>
              </w:rPr>
              <w:t>）中表</w:t>
            </w:r>
            <w:r>
              <w:rPr>
                <w:color w:val="auto"/>
                <w:sz w:val="24"/>
              </w:rPr>
              <w:t>4</w:t>
            </w:r>
            <w:r>
              <w:rPr>
                <w:rFonts w:hint="eastAsia"/>
                <w:color w:val="auto"/>
                <w:sz w:val="24"/>
              </w:rPr>
              <w:t>的三级标准；经</w:t>
            </w:r>
            <w:r>
              <w:rPr>
                <w:rFonts w:hint="eastAsia"/>
                <w:color w:val="auto"/>
                <w:sz w:val="24"/>
                <w:lang w:eastAsia="zh-CN"/>
              </w:rPr>
              <w:t>蚌埠第</w:t>
            </w:r>
            <w:r>
              <w:rPr>
                <w:rFonts w:hint="eastAsia"/>
                <w:color w:val="auto"/>
                <w:sz w:val="24"/>
                <w:lang w:val="en-US" w:eastAsia="zh-CN"/>
              </w:rPr>
              <w:t>二</w:t>
            </w:r>
            <w:r>
              <w:rPr>
                <w:rFonts w:hint="eastAsia"/>
                <w:color w:val="auto"/>
                <w:sz w:val="24"/>
                <w:lang w:eastAsia="zh-CN"/>
              </w:rPr>
              <w:t>污水处理厂</w:t>
            </w:r>
            <w:r>
              <w:rPr>
                <w:rFonts w:hint="eastAsia"/>
                <w:color w:val="auto"/>
                <w:sz w:val="24"/>
              </w:rPr>
              <w:t>处理达</w:t>
            </w:r>
            <w:r>
              <w:rPr>
                <w:color w:val="auto"/>
                <w:sz w:val="24"/>
              </w:rPr>
              <w:t>《城镇污水处理厂污染物排放标准》（GB18918－2002）一级A标准</w:t>
            </w:r>
            <w:r>
              <w:rPr>
                <w:rFonts w:hint="eastAsia"/>
                <w:color w:val="auto"/>
                <w:sz w:val="24"/>
              </w:rPr>
              <w:t>后排入淮河。</w:t>
            </w:r>
          </w:p>
          <w:p w14:paraId="1B1F2CEB">
            <w:pPr>
              <w:pStyle w:val="56"/>
              <w:bidi w:val="0"/>
              <w:adjustRightInd/>
              <w:spacing w:line="240" w:lineRule="auto"/>
              <w:ind w:firstLine="0" w:firstLineChars="0"/>
              <w:rPr>
                <w:rFonts w:hint="default" w:ascii="Times New Roman" w:hAnsi="Times New Roman" w:cs="Times New Roman"/>
                <w:color w:val="auto"/>
                <w:spacing w:val="0"/>
                <w:kern w:val="0"/>
                <w:sz w:val="21"/>
                <w:szCs w:val="20"/>
                <w:highlight w:val="none"/>
              </w:rPr>
            </w:pPr>
            <w:r>
              <w:rPr>
                <w:rFonts w:hint="eastAsia" w:ascii="Times New Roman" w:hAnsi="Times New Roman" w:cs="Times New Roman"/>
                <w:color w:val="auto"/>
                <w:spacing w:val="0"/>
                <w:kern w:val="0"/>
                <w:sz w:val="21"/>
                <w:szCs w:val="20"/>
                <w:highlight w:val="none"/>
              </w:rPr>
              <w:t>表3-</w:t>
            </w:r>
            <w:r>
              <w:rPr>
                <w:rFonts w:hint="eastAsia" w:ascii="Times New Roman" w:hAnsi="Times New Roman" w:cs="Times New Roman"/>
                <w:color w:val="auto"/>
                <w:spacing w:val="0"/>
                <w:kern w:val="0"/>
                <w:sz w:val="21"/>
                <w:szCs w:val="20"/>
                <w:highlight w:val="none"/>
                <w:lang w:val="en-US" w:eastAsia="zh-CN"/>
              </w:rPr>
              <w:t>7</w:t>
            </w:r>
            <w:r>
              <w:rPr>
                <w:rFonts w:hint="eastAsia" w:ascii="Times New Roman" w:hAnsi="Times New Roman" w:cs="Times New Roman"/>
                <w:color w:val="auto"/>
                <w:spacing w:val="0"/>
                <w:kern w:val="0"/>
                <w:sz w:val="21"/>
                <w:szCs w:val="20"/>
                <w:highlight w:val="none"/>
              </w:rPr>
              <w:t xml:space="preserve">   污水排放执行标准</w:t>
            </w:r>
            <w:r>
              <w:rPr>
                <w:rFonts w:hint="default" w:ascii="Times New Roman" w:hAnsi="Times New Roman" w:cs="Times New Roman"/>
                <w:color w:val="auto"/>
                <w:spacing w:val="0"/>
                <w:kern w:val="0"/>
                <w:sz w:val="21"/>
                <w:szCs w:val="20"/>
                <w:highlight w:val="none"/>
              </w:rPr>
              <w:t xml:space="preserve">    </w:t>
            </w:r>
            <w:r>
              <w:rPr>
                <w:rFonts w:hint="eastAsia" w:ascii="Times New Roman" w:hAnsi="Times New Roman" w:cs="Times New Roman"/>
                <w:color w:val="auto"/>
                <w:spacing w:val="0"/>
                <w:kern w:val="0"/>
                <w:sz w:val="21"/>
                <w:szCs w:val="20"/>
                <w:highlight w:val="none"/>
              </w:rPr>
              <w:t>单位：</w:t>
            </w:r>
            <w:r>
              <w:rPr>
                <w:rFonts w:hint="default" w:ascii="Times New Roman" w:hAnsi="Times New Roman" w:cs="Times New Roman"/>
                <w:color w:val="auto"/>
                <w:spacing w:val="0"/>
                <w:kern w:val="0"/>
                <w:sz w:val="21"/>
                <w:szCs w:val="20"/>
                <w:highlight w:val="none"/>
              </w:rPr>
              <w:t>mg/L ,pH</w:t>
            </w:r>
            <w:r>
              <w:rPr>
                <w:rFonts w:hint="eastAsia" w:ascii="Times New Roman" w:hAnsi="Times New Roman" w:cs="Times New Roman"/>
                <w:color w:val="auto"/>
                <w:spacing w:val="0"/>
                <w:kern w:val="0"/>
                <w:sz w:val="21"/>
                <w:szCs w:val="20"/>
                <w:highlight w:val="none"/>
              </w:rPr>
              <w:t>无量纲</w:t>
            </w:r>
          </w:p>
          <w:tbl>
            <w:tblPr>
              <w:tblStyle w:val="26"/>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997"/>
              <w:gridCol w:w="1242"/>
              <w:gridCol w:w="1156"/>
              <w:gridCol w:w="1151"/>
              <w:gridCol w:w="1334"/>
            </w:tblGrid>
            <w:tr w14:paraId="3E8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447" w:type="pct"/>
                  <w:tcBorders>
                    <w:top w:val="single" w:color="auto" w:sz="4" w:space="0"/>
                    <w:left w:val="single" w:color="auto" w:sz="4" w:space="0"/>
                    <w:bottom w:val="single" w:color="auto" w:sz="4" w:space="0"/>
                    <w:right w:val="single" w:color="auto" w:sz="4" w:space="0"/>
                  </w:tcBorders>
                  <w:noWrap w:val="0"/>
                  <w:vAlign w:val="top"/>
                </w:tcPr>
                <w:p w14:paraId="2976E773">
                  <w:pPr>
                    <w:pStyle w:val="21"/>
                    <w:tabs>
                      <w:tab w:val="right" w:leader="dot" w:pos="8296"/>
                    </w:tabs>
                    <w:jc w:val="both"/>
                    <w:rPr>
                      <w:rFonts w:ascii="Times New Roman" w:eastAsia="宋体"/>
                      <w:caps w:val="0"/>
                      <w:szCs w:val="21"/>
                    </w:rPr>
                  </w:pPr>
                  <w:r>
                    <w:rPr>
                      <w:szCs w:val="21"/>
                    </w:rPr>
                    <mc:AlternateContent>
                      <mc:Choice Requires="wps">
                        <w:drawing>
                          <wp:anchor distT="0" distB="0" distL="114300" distR="114300" simplePos="0" relativeHeight="251670528" behindDoc="0" locked="0" layoutInCell="1" allowOverlap="1">
                            <wp:simplePos x="0" y="0"/>
                            <wp:positionH relativeFrom="column">
                              <wp:posOffset>346710</wp:posOffset>
                            </wp:positionH>
                            <wp:positionV relativeFrom="paragraph">
                              <wp:posOffset>179070</wp:posOffset>
                            </wp:positionV>
                            <wp:extent cx="262255" cy="2609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62255" cy="260985"/>
                                    </a:xfrm>
                                    <a:prstGeom prst="rect">
                                      <a:avLst/>
                                    </a:prstGeom>
                                    <a:noFill/>
                                    <a:ln>
                                      <a:noFill/>
                                    </a:ln>
                                    <a:effectLst/>
                                  </wps:spPr>
                                  <wps:txbx>
                                    <w:txbxContent>
                                      <w:p w14:paraId="434585A4">
                                        <w:pPr>
                                          <w:snapToGrid w:val="0"/>
                                        </w:pPr>
                                        <w:r>
                                          <w:rPr>
                                            <w:rFonts w:hint="eastAsia"/>
                                          </w:rPr>
                                          <w:t>别</w:t>
                                        </w:r>
                                      </w:p>
                                    </w:txbxContent>
                                  </wps:txbx>
                                  <wps:bodyPr lIns="0" tIns="0" rIns="0" bIns="0" upright="1"/>
                                </wps:wsp>
                              </a:graphicData>
                            </a:graphic>
                          </wp:anchor>
                        </w:drawing>
                      </mc:Choice>
                      <mc:Fallback>
                        <w:pict>
                          <v:shape id="_x0000_s1026" o:spid="_x0000_s1026" o:spt="202" type="#_x0000_t202" style="position:absolute;left:0pt;margin-left:27.3pt;margin-top:14.1pt;height:20.55pt;width:20.65pt;z-index:251670528;mso-width-relative:page;mso-height-relative:page;" filled="f" stroked="f" coordsize="21600,21600" o:gfxdata="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P/+9YAAAAHAQAADwAAAAAAAAABACAAAAAiAAAAZHJzL2Rvd25yZXYueG1sUEsB&#10;AhQAFAAAAAgAh07iQN86I+G+AQAAgQMAAA4AAAAAAAAAAQAgAAAAJQEAAGRycy9lMm9Eb2MueG1s&#10;UEsFBgAAAAAGAAYAWQEAAFUFAAAAAA==&#10;">
                            <v:fill on="f" focussize="0,0"/>
                            <v:stroke on="f"/>
                            <v:imagedata o:title=""/>
                            <o:lock v:ext="edit" aspectratio="f"/>
                            <v:textbox inset="0mm,0mm,0mm,0mm">
                              <w:txbxContent>
                                <w:p w14:paraId="434585A4">
                                  <w:pPr>
                                    <w:snapToGrid w:val="0"/>
                                  </w:pPr>
                                  <w:r>
                                    <w:rPr>
                                      <w:rFonts w:hint="eastAsia"/>
                                    </w:rPr>
                                    <w:t>别</w:t>
                                  </w:r>
                                </w:p>
                              </w:txbxContent>
                            </v:textbox>
                          </v:shape>
                        </w:pict>
                      </mc:Fallback>
                    </mc:AlternateContent>
                  </w:r>
                  <w:r>
                    <w:rPr>
                      <w:szCs w:val="21"/>
                    </w:rPr>
                    <mc:AlternateContent>
                      <mc:Choice Requires="wps">
                        <w:drawing>
                          <wp:anchor distT="0" distB="0" distL="114300" distR="114300" simplePos="0" relativeHeight="251668480" behindDoc="0" locked="0" layoutInCell="1" allowOverlap="1">
                            <wp:simplePos x="0" y="0"/>
                            <wp:positionH relativeFrom="column">
                              <wp:posOffset>871220</wp:posOffset>
                            </wp:positionH>
                            <wp:positionV relativeFrom="paragraph">
                              <wp:posOffset>23495</wp:posOffset>
                            </wp:positionV>
                            <wp:extent cx="157480" cy="1568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57480" cy="156845"/>
                                    </a:xfrm>
                                    <a:prstGeom prst="rect">
                                      <a:avLst/>
                                    </a:prstGeom>
                                    <a:noFill/>
                                    <a:ln>
                                      <a:noFill/>
                                    </a:ln>
                                    <a:effectLst/>
                                  </wps:spPr>
                                  <wps:txbx>
                                    <w:txbxContent>
                                      <w:p w14:paraId="2A9EB3BA">
                                        <w:pPr>
                                          <w:snapToGrid w:val="0"/>
                                          <w:rPr>
                                            <w:rFonts w:ascii="宋体" w:cs="宋体"/>
                                          </w:rPr>
                                        </w:pPr>
                                        <w:r>
                                          <w:rPr>
                                            <w:rFonts w:hint="eastAsia" w:ascii="宋体" w:hAnsi="宋体" w:cs="宋体"/>
                                          </w:rPr>
                                          <w:t>染</w:t>
                                        </w:r>
                                      </w:p>
                                    </w:txbxContent>
                                  </wps:txbx>
                                  <wps:bodyPr lIns="0" tIns="0" rIns="0" bIns="0" upright="1"/>
                                </wps:wsp>
                              </a:graphicData>
                            </a:graphic>
                          </wp:anchor>
                        </w:drawing>
                      </mc:Choice>
                      <mc:Fallback>
                        <w:pict>
                          <v:shape id="_x0000_s1026" o:spid="_x0000_s1026" o:spt="202" type="#_x0000_t202" style="position:absolute;left:0pt;margin-left:68.6pt;margin-top:1.85pt;height:12.35pt;width:12.4pt;z-index:251668480;mso-width-relative:page;mso-height-relative:page;" filled="f" stroked="f" coordsize="21600,21600" o:gfxdata="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k5DctcAAAAIAQAADwAAAAAAAAABACAAAAAiAAAAZHJzL2Rvd25yZXYueG1sUEsB&#10;AhQAFAAAAAgAh07iQHX5tte9AQAAfwMAAA4AAAAAAAAAAQAgAAAAJgEAAGRycy9lMm9Eb2MueG1s&#10;UEsFBgAAAAAGAAYAWQEAAFUFAAAAAA==&#10;">
                            <v:fill on="f" focussize="0,0"/>
                            <v:stroke on="f"/>
                            <v:imagedata o:title=""/>
                            <o:lock v:ext="edit" aspectratio="f"/>
                            <v:textbox inset="0mm,0mm,0mm,0mm">
                              <w:txbxContent>
                                <w:p w14:paraId="2A9EB3BA">
                                  <w:pPr>
                                    <w:snapToGrid w:val="0"/>
                                    <w:rPr>
                                      <w:rFonts w:ascii="宋体" w:cs="宋体"/>
                                    </w:rPr>
                                  </w:pPr>
                                  <w:r>
                                    <w:rPr>
                                      <w:rFonts w:hint="eastAsia" w:ascii="宋体" w:hAnsi="宋体" w:cs="宋体"/>
                                    </w:rPr>
                                    <w:t>染</w:t>
                                  </w:r>
                                </w:p>
                              </w:txbxContent>
                            </v:textbox>
                          </v:shape>
                        </w:pict>
                      </mc:Fallback>
                    </mc:AlternateContent>
                  </w:r>
                  <w:r>
                    <w:rPr>
                      <w:szCs w:val="21"/>
                    </w:rPr>
                    <mc:AlternateContent>
                      <mc:Choice Requires="wps">
                        <w:drawing>
                          <wp:anchor distT="0" distB="0" distL="114300" distR="114300" simplePos="0" relativeHeight="251667456" behindDoc="0" locked="0" layoutInCell="1" allowOverlap="1">
                            <wp:simplePos x="0" y="0"/>
                            <wp:positionH relativeFrom="column">
                              <wp:posOffset>1283335</wp:posOffset>
                            </wp:positionH>
                            <wp:positionV relativeFrom="paragraph">
                              <wp:posOffset>38735</wp:posOffset>
                            </wp:positionV>
                            <wp:extent cx="233045" cy="2324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33045" cy="232410"/>
                                    </a:xfrm>
                                    <a:prstGeom prst="rect">
                                      <a:avLst/>
                                    </a:prstGeom>
                                    <a:noFill/>
                                    <a:ln>
                                      <a:noFill/>
                                    </a:ln>
                                    <a:effectLst/>
                                  </wps:spPr>
                                  <wps:txbx>
                                    <w:txbxContent>
                                      <w:p w14:paraId="7195B154">
                                        <w:pPr>
                                          <w:snapToGrid w:val="0"/>
                                          <w:rPr>
                                            <w:rFonts w:ascii="宋体" w:cs="宋体"/>
                                          </w:rPr>
                                        </w:pPr>
                                        <w:r>
                                          <w:rPr>
                                            <w:rFonts w:hint="eastAsia" w:ascii="宋体" w:hAnsi="宋体" w:cs="宋体"/>
                                          </w:rPr>
                                          <w:t>物</w:t>
                                        </w:r>
                                      </w:p>
                                    </w:txbxContent>
                                  </wps:txbx>
                                  <wps:bodyPr lIns="0" tIns="0" rIns="0" bIns="0" upright="1"/>
                                </wps:wsp>
                              </a:graphicData>
                            </a:graphic>
                          </wp:anchor>
                        </w:drawing>
                      </mc:Choice>
                      <mc:Fallback>
                        <w:pict>
                          <v:shape id="_x0000_s1026" o:spid="_x0000_s1026" o:spt="202" type="#_x0000_t202" style="position:absolute;left:0pt;margin-left:101.05pt;margin-top:3.05pt;height:18.3pt;width:18.35pt;z-index:251667456;mso-width-relative:page;mso-height-relative:page;" filled="f" stroked="f" coordsize="21600,21600" o:gfxdata="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tkf0f1wAAAAgBAAAPAAAAAAAAAAEAIAAAACIAAABkcnMvZG93bnJldi54bWxQ&#10;SwECFAAUAAAACACHTuJAI85Ro78BAAB/AwAADgAAAAAAAAABACAAAAAmAQAAZHJzL2Uyb0RvYy54&#10;bWxQSwUGAAAAAAYABgBZAQAAVwUAAAAA&#10;">
                            <v:fill on="f" focussize="0,0"/>
                            <v:stroke on="f"/>
                            <v:imagedata o:title=""/>
                            <o:lock v:ext="edit" aspectratio="f"/>
                            <v:textbox inset="0mm,0mm,0mm,0mm">
                              <w:txbxContent>
                                <w:p w14:paraId="7195B154">
                                  <w:pPr>
                                    <w:snapToGrid w:val="0"/>
                                    <w:rPr>
                                      <w:rFonts w:ascii="宋体" w:cs="宋体"/>
                                    </w:rPr>
                                  </w:pPr>
                                  <w:r>
                                    <w:rPr>
                                      <w:rFonts w:hint="eastAsia" w:ascii="宋体" w:hAnsi="宋体" w:cs="宋体"/>
                                    </w:rPr>
                                    <w:t>物</w:t>
                                  </w:r>
                                </w:p>
                              </w:txbxContent>
                            </v:textbox>
                          </v:shape>
                        </w:pict>
                      </mc:Fallback>
                    </mc:AlternateContent>
                  </w:r>
                  <w:r>
                    <w:rPr>
                      <w:szCs w:val="21"/>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22225</wp:posOffset>
                            </wp:positionV>
                            <wp:extent cx="1519555" cy="307340"/>
                            <wp:effectExtent l="635" t="4445" r="3810" b="12065"/>
                            <wp:wrapNone/>
                            <wp:docPr id="12" name="直接连接符 12"/>
                            <wp:cNvGraphicFramePr/>
                            <a:graphic xmlns:a="http://schemas.openxmlformats.org/drawingml/2006/main">
                              <a:graphicData uri="http://schemas.microsoft.com/office/word/2010/wordprocessingShape">
                                <wps:wsp>
                                  <wps:cNvCnPr/>
                                  <wps:spPr>
                                    <a:xfrm>
                                      <a:off x="0" y="0"/>
                                      <a:ext cx="1313180" cy="536575"/>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15pt;margin-top:1.75pt;height:24.2pt;width:119.65pt;z-index:251669504;mso-width-relative:page;mso-height-relative:page;" filled="f" stroked="t" coordsize="21600,21600" o:gfxdata="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z519TVAAAACAEAAA8AAAAAAAAAAQAgAAAAIgAAAGRycy9kb3ducmV2Lnht&#10;bFBLAQIUABQAAAAIAIdO4kAo0O9x/AEAAPkDAAAOAAAAAAAAAAEAIAAAACQBAABkcnMvZTJvRG9j&#10;LnhtbFBLBQYAAAAABgAGAFkBAACSBQAAAAA=&#10;">
                            <v:fill on="f" focussize="0,0"/>
                            <v:stroke weight="0.5pt" color="#000000" joinstyle="round"/>
                            <v:imagedata o:title=""/>
                            <o:lock v:ext="edit" aspectratio="f"/>
                          </v:line>
                        </w:pict>
                      </mc:Fallback>
                    </mc:AlternateContent>
                  </w:r>
                  <w:r>
                    <w:rPr>
                      <w:szCs w:val="21"/>
                    </w:rPr>
                    <mc:AlternateContent>
                      <mc:Choice Requires="wps">
                        <w:drawing>
                          <wp:anchor distT="0" distB="0" distL="114300" distR="114300" simplePos="0" relativeHeight="251671552" behindDoc="0" locked="0" layoutInCell="1" allowOverlap="1">
                            <wp:simplePos x="0" y="0"/>
                            <wp:positionH relativeFrom="column">
                              <wp:posOffset>51435</wp:posOffset>
                            </wp:positionH>
                            <wp:positionV relativeFrom="paragraph">
                              <wp:posOffset>170180</wp:posOffset>
                            </wp:positionV>
                            <wp:extent cx="186055" cy="1943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055" cy="194310"/>
                                    </a:xfrm>
                                    <a:prstGeom prst="rect">
                                      <a:avLst/>
                                    </a:prstGeom>
                                    <a:noFill/>
                                    <a:ln>
                                      <a:noFill/>
                                    </a:ln>
                                    <a:effectLst/>
                                  </wps:spPr>
                                  <wps:txbx>
                                    <w:txbxContent>
                                      <w:p w14:paraId="2EA9ABD3">
                                        <w:pPr>
                                          <w:snapToGrid w:val="0"/>
                                          <w:rPr>
                                            <w:rFonts w:ascii="宋体" w:cs="宋体"/>
                                          </w:rPr>
                                        </w:pPr>
                                        <w:r>
                                          <w:rPr>
                                            <w:rFonts w:hint="eastAsia" w:ascii="宋体" w:hAnsi="宋体" w:cs="宋体"/>
                                          </w:rPr>
                                          <w:t>类</w:t>
                                        </w:r>
                                      </w:p>
                                    </w:txbxContent>
                                  </wps:txbx>
                                  <wps:bodyPr lIns="0" tIns="0" rIns="0" bIns="0" upright="1"/>
                                </wps:wsp>
                              </a:graphicData>
                            </a:graphic>
                          </wp:anchor>
                        </w:drawing>
                      </mc:Choice>
                      <mc:Fallback>
                        <w:pict>
                          <v:shape id="_x0000_s1026" o:spid="_x0000_s1026" o:spt="202" type="#_x0000_t202" style="position:absolute;left:0pt;margin-left:4.05pt;margin-top:13.4pt;height:15.3pt;width:14.65pt;z-index:251671552;mso-width-relative:page;mso-height-relative:page;" filled="f" stroked="f" coordsize="21600,21600" o:gfxdata="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znZbl1gAAAAYBAAAPAAAAAAAAAAEAIAAAACIAAABkcnMvZG93bnJldi54bWxQ&#10;SwECFAAUAAAACACHTuJAvJP0KsABAAB/AwAADgAAAAAAAAABACAAAAAlAQAAZHJzL2Uyb0RvYy54&#10;bWxQSwUGAAAAAAYABgBZAQAAVwUAAAAA&#10;">
                            <v:fill on="f" focussize="0,0"/>
                            <v:stroke on="f"/>
                            <v:imagedata o:title=""/>
                            <o:lock v:ext="edit" aspectratio="f"/>
                            <v:textbox inset="0mm,0mm,0mm,0mm">
                              <w:txbxContent>
                                <w:p w14:paraId="2EA9ABD3">
                                  <w:pPr>
                                    <w:snapToGrid w:val="0"/>
                                    <w:rPr>
                                      <w:rFonts w:ascii="宋体" w:cs="宋体"/>
                                    </w:rPr>
                                  </w:pPr>
                                  <w:r>
                                    <w:rPr>
                                      <w:rFonts w:hint="eastAsia" w:ascii="宋体" w:hAnsi="宋体" w:cs="宋体"/>
                                    </w:rPr>
                                    <w:t>类</w:t>
                                  </w:r>
                                </w:p>
                              </w:txbxContent>
                            </v:textbox>
                          </v:shape>
                        </w:pict>
                      </mc:Fallback>
                    </mc:AlternateContent>
                  </w:r>
                  <w:r>
                    <w:rPr>
                      <w:szCs w:val="21"/>
                    </w:rPr>
                    <mc:AlternateContent>
                      <mc:Choice Requires="wps">
                        <w:drawing>
                          <wp:anchor distT="0" distB="0" distL="114300" distR="114300" simplePos="0" relativeHeight="251666432" behindDoc="0" locked="0" layoutInCell="1" allowOverlap="1">
                            <wp:simplePos x="0" y="0"/>
                            <wp:positionH relativeFrom="column">
                              <wp:posOffset>448945</wp:posOffset>
                            </wp:positionH>
                            <wp:positionV relativeFrom="paragraph">
                              <wp:posOffset>19685</wp:posOffset>
                            </wp:positionV>
                            <wp:extent cx="186055" cy="18478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6055" cy="184785"/>
                                    </a:xfrm>
                                    <a:prstGeom prst="rect">
                                      <a:avLst/>
                                    </a:prstGeom>
                                    <a:noFill/>
                                    <a:ln>
                                      <a:noFill/>
                                    </a:ln>
                                    <a:effectLst/>
                                  </wps:spPr>
                                  <wps:txbx>
                                    <w:txbxContent>
                                      <w:p w14:paraId="0E190B0F">
                                        <w:pPr>
                                          <w:snapToGrid w:val="0"/>
                                          <w:rPr>
                                            <w:rFonts w:ascii="宋体" w:cs="宋体"/>
                                          </w:rPr>
                                        </w:pPr>
                                        <w:r>
                                          <w:rPr>
                                            <w:rFonts w:hint="eastAsia" w:ascii="宋体" w:hAnsi="宋体" w:cs="宋体"/>
                                          </w:rPr>
                                          <w:t>污</w:t>
                                        </w:r>
                                      </w:p>
                                    </w:txbxContent>
                                  </wps:txbx>
                                  <wps:bodyPr lIns="0" tIns="0" rIns="0" bIns="0" upright="1"/>
                                </wps:wsp>
                              </a:graphicData>
                            </a:graphic>
                          </wp:anchor>
                        </w:drawing>
                      </mc:Choice>
                      <mc:Fallback>
                        <w:pict>
                          <v:shape id="_x0000_s1026" o:spid="_x0000_s1026" o:spt="202" type="#_x0000_t202" style="position:absolute;left:0pt;margin-left:35.35pt;margin-top:1.55pt;height:14.55pt;width:14.65pt;z-index:251666432;mso-width-relative:page;mso-height-relative:page;" filled="f" stroked="f" coordsize="21600,21600" o:gfxdata="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l3Qr1QAAAAcBAAAPAAAAAAAAAAEAIAAAACIAAABkcnMvZG93bnJldi54bWxQSwEC&#10;FAAUAAAACACHTuJAtkkN5L4BAACBAwAADgAAAAAAAAABACAAAAAkAQAAZHJzL2Uyb0RvYy54bWxQ&#10;SwUGAAAAAAYABgBZAQAAVAUAAAAA&#10;">
                            <v:fill on="f" focussize="0,0"/>
                            <v:stroke on="f"/>
                            <v:imagedata o:title=""/>
                            <o:lock v:ext="edit" aspectratio="f"/>
                            <v:textbox inset="0mm,0mm,0mm,0mm">
                              <w:txbxContent>
                                <w:p w14:paraId="0E190B0F">
                                  <w:pPr>
                                    <w:snapToGrid w:val="0"/>
                                    <w:rPr>
                                      <w:rFonts w:ascii="宋体" w:cs="宋体"/>
                                    </w:rPr>
                                  </w:pPr>
                                  <w:r>
                                    <w:rPr>
                                      <w:rFonts w:hint="eastAsia" w:ascii="宋体" w:hAnsi="宋体" w:cs="宋体"/>
                                    </w:rPr>
                                    <w:t>污</w:t>
                                  </w:r>
                                </w:p>
                              </w:txbxContent>
                            </v:textbox>
                          </v:shape>
                        </w:pict>
                      </mc:Fallback>
                    </mc:AlternateConten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58567A55">
                  <w:pPr>
                    <w:spacing w:line="540" w:lineRule="exact"/>
                    <w:jc w:val="center"/>
                    <w:rPr>
                      <w:szCs w:val="21"/>
                    </w:rPr>
                  </w:pPr>
                  <w:r>
                    <w:rPr>
                      <w:szCs w:val="21"/>
                    </w:rPr>
                    <w:t>pH</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47217914">
                  <w:pPr>
                    <w:spacing w:line="540" w:lineRule="exact"/>
                    <w:jc w:val="center"/>
                    <w:rPr>
                      <w:szCs w:val="21"/>
                    </w:rPr>
                  </w:pPr>
                  <w:r>
                    <w:rPr>
                      <w:szCs w:val="21"/>
                    </w:rPr>
                    <w:t>COD</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59955EE">
                  <w:pPr>
                    <w:spacing w:line="540" w:lineRule="exact"/>
                    <w:jc w:val="center"/>
                    <w:rPr>
                      <w:szCs w:val="21"/>
                    </w:rPr>
                  </w:pPr>
                  <w:r>
                    <w:rPr>
                      <w:szCs w:val="21"/>
                    </w:rPr>
                    <w:t>NH</w:t>
                  </w:r>
                  <w:r>
                    <w:rPr>
                      <w:szCs w:val="21"/>
                      <w:vertAlign w:val="subscript"/>
                    </w:rPr>
                    <w:t>3</w:t>
                  </w:r>
                  <w:r>
                    <w:rPr>
                      <w:szCs w:val="21"/>
                    </w:rPr>
                    <w:t>-N</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2C84B892">
                  <w:pPr>
                    <w:spacing w:line="540" w:lineRule="exact"/>
                    <w:jc w:val="center"/>
                    <w:rPr>
                      <w:szCs w:val="21"/>
                    </w:rPr>
                  </w:pPr>
                  <w:r>
                    <w:rPr>
                      <w:szCs w:val="21"/>
                    </w:rPr>
                    <w:t>SS</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0B6517FD">
                  <w:pPr>
                    <w:spacing w:line="540" w:lineRule="exact"/>
                    <w:jc w:val="center"/>
                    <w:rPr>
                      <w:szCs w:val="21"/>
                      <w:vertAlign w:val="subscript"/>
                    </w:rPr>
                  </w:pPr>
                  <w:r>
                    <w:rPr>
                      <w:szCs w:val="21"/>
                    </w:rPr>
                    <w:t>BOD</w:t>
                  </w:r>
                  <w:r>
                    <w:rPr>
                      <w:szCs w:val="21"/>
                      <w:vertAlign w:val="subscript"/>
                    </w:rPr>
                    <w:t>5</w:t>
                  </w:r>
                </w:p>
              </w:tc>
            </w:tr>
            <w:tr w14:paraId="2D6E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447" w:type="pct"/>
                  <w:tcBorders>
                    <w:top w:val="single" w:color="auto" w:sz="4" w:space="0"/>
                    <w:left w:val="single" w:color="auto" w:sz="4" w:space="0"/>
                    <w:bottom w:val="single" w:color="auto" w:sz="4" w:space="0"/>
                    <w:right w:val="single" w:color="auto" w:sz="4" w:space="0"/>
                  </w:tcBorders>
                  <w:noWrap w:val="0"/>
                  <w:vAlign w:val="center"/>
                </w:tcPr>
                <w:p w14:paraId="037D72AB">
                  <w:pPr>
                    <w:spacing w:line="280" w:lineRule="exact"/>
                    <w:jc w:val="center"/>
                    <w:rPr>
                      <w:szCs w:val="21"/>
                    </w:rPr>
                  </w:pPr>
                  <w:r>
                    <w:rPr>
                      <w:rFonts w:hint="eastAsia" w:hAnsi="宋体"/>
                      <w:szCs w:val="21"/>
                      <w:lang w:eastAsia="zh-CN"/>
                    </w:rPr>
                    <w:t>蚌埠市第</w:t>
                  </w:r>
                  <w:r>
                    <w:rPr>
                      <w:rFonts w:hint="eastAsia" w:hAnsi="宋体"/>
                      <w:szCs w:val="21"/>
                      <w:lang w:val="en-US" w:eastAsia="zh-CN"/>
                    </w:rPr>
                    <w:t>二</w:t>
                  </w:r>
                  <w:r>
                    <w:rPr>
                      <w:rFonts w:hint="eastAsia" w:hAnsi="宋体"/>
                      <w:szCs w:val="21"/>
                      <w:lang w:eastAsia="zh-CN"/>
                    </w:rPr>
                    <w:t>污水处理厂</w:t>
                  </w:r>
                  <w:r>
                    <w:rPr>
                      <w:rFonts w:hint="eastAsia" w:hAnsi="宋体"/>
                      <w:szCs w:val="21"/>
                    </w:rPr>
                    <w:t>接管要求</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6C7BC6FE">
                  <w:pPr>
                    <w:spacing w:line="300" w:lineRule="exact"/>
                    <w:jc w:val="center"/>
                    <w:rPr>
                      <w:szCs w:val="21"/>
                    </w:rPr>
                  </w:pPr>
                  <w:r>
                    <w:rPr>
                      <w:szCs w:val="21"/>
                    </w:rPr>
                    <w:t>6-9</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78E83621">
                  <w:pPr>
                    <w:spacing w:line="300" w:lineRule="exact"/>
                    <w:jc w:val="center"/>
                    <w:rPr>
                      <w:szCs w:val="21"/>
                      <w:highlight w:val="none"/>
                    </w:rPr>
                  </w:pPr>
                  <w:r>
                    <w:rPr>
                      <w:color w:val="auto"/>
                      <w:szCs w:val="21"/>
                      <w:highlight w:val="none"/>
                    </w:rPr>
                    <w:t>420</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734B35B9">
                  <w:pPr>
                    <w:spacing w:line="300" w:lineRule="exact"/>
                    <w:jc w:val="center"/>
                    <w:rPr>
                      <w:szCs w:val="21"/>
                      <w:highlight w:val="none"/>
                    </w:rPr>
                  </w:pPr>
                  <w:r>
                    <w:rPr>
                      <w:color w:val="auto"/>
                      <w:szCs w:val="21"/>
                      <w:highlight w:val="none"/>
                    </w:rPr>
                    <w:t>35</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21167239">
                  <w:pPr>
                    <w:spacing w:line="300" w:lineRule="exact"/>
                    <w:jc w:val="center"/>
                    <w:rPr>
                      <w:szCs w:val="21"/>
                      <w:highlight w:val="none"/>
                    </w:rPr>
                  </w:pPr>
                  <w:r>
                    <w:rPr>
                      <w:color w:val="auto"/>
                      <w:szCs w:val="21"/>
                      <w:highlight w:val="none"/>
                    </w:rPr>
                    <w:t>190</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49B2620">
                  <w:pPr>
                    <w:spacing w:line="300" w:lineRule="exact"/>
                    <w:jc w:val="center"/>
                    <w:rPr>
                      <w:szCs w:val="21"/>
                      <w:highlight w:val="none"/>
                    </w:rPr>
                  </w:pPr>
                  <w:r>
                    <w:rPr>
                      <w:color w:val="auto"/>
                      <w:szCs w:val="21"/>
                      <w:highlight w:val="none"/>
                    </w:rPr>
                    <w:t>210</w:t>
                  </w:r>
                </w:p>
              </w:tc>
            </w:tr>
            <w:tr w14:paraId="7454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447" w:type="pct"/>
                  <w:tcBorders>
                    <w:top w:val="single" w:color="auto" w:sz="4" w:space="0"/>
                    <w:left w:val="single" w:color="auto" w:sz="4" w:space="0"/>
                    <w:bottom w:val="single" w:color="auto" w:sz="4" w:space="0"/>
                    <w:right w:val="single" w:color="auto" w:sz="4" w:space="0"/>
                  </w:tcBorders>
                  <w:noWrap w:val="0"/>
                  <w:vAlign w:val="center"/>
                </w:tcPr>
                <w:p w14:paraId="230F4829">
                  <w:pPr>
                    <w:spacing w:line="280" w:lineRule="exact"/>
                    <w:jc w:val="center"/>
                    <w:rPr>
                      <w:rFonts w:hAnsi="宋体"/>
                      <w:szCs w:val="21"/>
                    </w:rPr>
                  </w:pPr>
                  <w:r>
                    <w:rPr>
                      <w:rFonts w:hint="eastAsia" w:hAnsi="宋体"/>
                      <w:szCs w:val="21"/>
                    </w:rPr>
                    <w:t>《污水综合排放标准》（GB8978-1996）</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492FDEA6">
                  <w:pPr>
                    <w:spacing w:line="300" w:lineRule="exact"/>
                    <w:jc w:val="center"/>
                    <w:rPr>
                      <w:szCs w:val="21"/>
                    </w:rPr>
                  </w:pPr>
                  <w:r>
                    <w:rPr>
                      <w:color w:val="000000"/>
                      <w:sz w:val="21"/>
                      <w:szCs w:val="21"/>
                    </w:rPr>
                    <w:t>6-9</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087B6AD4">
                  <w:pPr>
                    <w:spacing w:line="300" w:lineRule="exact"/>
                    <w:jc w:val="center"/>
                    <w:rPr>
                      <w:szCs w:val="21"/>
                    </w:rPr>
                  </w:pPr>
                  <w:r>
                    <w:rPr>
                      <w:rFonts w:hint="eastAsia"/>
                      <w:color w:val="000000"/>
                      <w:sz w:val="21"/>
                      <w:szCs w:val="21"/>
                      <w:lang w:val="en-US" w:eastAsia="zh-CN"/>
                    </w:rPr>
                    <w:t>500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56E654FA">
                  <w:pPr>
                    <w:spacing w:line="300" w:lineRule="exact"/>
                    <w:jc w:val="center"/>
                    <w:rPr>
                      <w:szCs w:val="21"/>
                    </w:rPr>
                  </w:pPr>
                  <w:r>
                    <w:rPr>
                      <w:rFonts w:hint="eastAsia"/>
                      <w:color w:val="000000"/>
                      <w:sz w:val="21"/>
                      <w:szCs w:val="21"/>
                      <w:lang w:val="en-US" w:eastAsia="zh-CN"/>
                    </w:rPr>
                    <w:t>300</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1909E77E">
                  <w:pPr>
                    <w:spacing w:line="300" w:lineRule="exact"/>
                    <w:jc w:val="center"/>
                    <w:rPr>
                      <w:szCs w:val="21"/>
                    </w:rPr>
                  </w:pPr>
                  <w:r>
                    <w:rPr>
                      <w:rFonts w:hint="eastAsia"/>
                      <w:color w:val="000000"/>
                      <w:sz w:val="21"/>
                      <w:szCs w:val="21"/>
                      <w:lang w:val="en-US" w:eastAsia="zh-CN"/>
                    </w:rPr>
                    <w:t>400</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474D8A57">
                  <w:pPr>
                    <w:spacing w:line="300" w:lineRule="exact"/>
                    <w:jc w:val="center"/>
                    <w:rPr>
                      <w:szCs w:val="21"/>
                    </w:rPr>
                  </w:pPr>
                  <w:r>
                    <w:rPr>
                      <w:rFonts w:hint="eastAsia"/>
                      <w:color w:val="000000"/>
                      <w:sz w:val="21"/>
                      <w:szCs w:val="21"/>
                      <w:lang w:val="en-US" w:eastAsia="zh-CN"/>
                    </w:rPr>
                    <w:t>300</w:t>
                  </w:r>
                </w:p>
              </w:tc>
            </w:tr>
            <w:tr w14:paraId="4388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447" w:type="pct"/>
                  <w:tcBorders>
                    <w:top w:val="single" w:color="auto" w:sz="4" w:space="0"/>
                    <w:left w:val="single" w:color="auto" w:sz="4" w:space="0"/>
                    <w:bottom w:val="single" w:color="auto" w:sz="4" w:space="0"/>
                    <w:right w:val="single" w:color="auto" w:sz="4" w:space="0"/>
                  </w:tcBorders>
                  <w:noWrap w:val="0"/>
                  <w:vAlign w:val="center"/>
                </w:tcPr>
                <w:p w14:paraId="5C0B9DD8">
                  <w:pPr>
                    <w:spacing w:line="280" w:lineRule="exact"/>
                    <w:jc w:val="center"/>
                    <w:rPr>
                      <w:rFonts w:hint="eastAsia" w:hAnsi="宋体"/>
                      <w:szCs w:val="21"/>
                    </w:rPr>
                  </w:pPr>
                  <w:r>
                    <w:rPr>
                      <w:sz w:val="21"/>
                      <w:szCs w:val="21"/>
                    </w:rPr>
                    <w:t>《城镇污水处理厂污染物排放标准》（GB18918－2002）一级A</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1D548C4B">
                  <w:pPr>
                    <w:spacing w:line="300" w:lineRule="exact"/>
                    <w:jc w:val="center"/>
                    <w:rPr>
                      <w:rFonts w:hint="eastAsia"/>
                      <w:szCs w:val="21"/>
                    </w:rPr>
                  </w:pPr>
                  <w:r>
                    <w:rPr>
                      <w:color w:val="000000"/>
                      <w:sz w:val="21"/>
                      <w:szCs w:val="21"/>
                    </w:rPr>
                    <w:t>6-9</w:t>
                  </w:r>
                </w:p>
              </w:tc>
              <w:tc>
                <w:tcPr>
                  <w:tcW w:w="750" w:type="pct"/>
                  <w:tcBorders>
                    <w:top w:val="single" w:color="auto" w:sz="4" w:space="0"/>
                    <w:left w:val="single" w:color="auto" w:sz="4" w:space="0"/>
                    <w:bottom w:val="single" w:color="auto" w:sz="4" w:space="0"/>
                    <w:right w:val="single" w:color="auto" w:sz="4" w:space="0"/>
                  </w:tcBorders>
                  <w:noWrap w:val="0"/>
                  <w:vAlign w:val="center"/>
                </w:tcPr>
                <w:p w14:paraId="1E694394">
                  <w:pPr>
                    <w:tabs>
                      <w:tab w:val="left" w:pos="9160"/>
                    </w:tabs>
                    <w:jc w:val="center"/>
                    <w:rPr>
                      <w:rFonts w:hint="eastAsia"/>
                      <w:szCs w:val="21"/>
                    </w:rPr>
                  </w:pPr>
                  <w:r>
                    <w:rPr>
                      <w:color w:val="000000"/>
                      <w:kern w:val="28"/>
                      <w:szCs w:val="21"/>
                    </w:rPr>
                    <w:t>50</w:t>
                  </w:r>
                </w:p>
              </w:tc>
              <w:tc>
                <w:tcPr>
                  <w:tcW w:w="698" w:type="pct"/>
                  <w:tcBorders>
                    <w:top w:val="single" w:color="auto" w:sz="4" w:space="0"/>
                    <w:left w:val="single" w:color="auto" w:sz="4" w:space="0"/>
                    <w:bottom w:val="single" w:color="auto" w:sz="4" w:space="0"/>
                    <w:right w:val="single" w:color="auto" w:sz="4" w:space="0"/>
                  </w:tcBorders>
                  <w:noWrap w:val="0"/>
                  <w:vAlign w:val="center"/>
                </w:tcPr>
                <w:p w14:paraId="0FDFD90C">
                  <w:pPr>
                    <w:tabs>
                      <w:tab w:val="left" w:pos="9160"/>
                    </w:tabs>
                    <w:jc w:val="center"/>
                    <w:rPr>
                      <w:rFonts w:hint="eastAsia"/>
                      <w:szCs w:val="21"/>
                    </w:rPr>
                  </w:pPr>
                  <w:r>
                    <w:rPr>
                      <w:color w:val="000000"/>
                      <w:kern w:val="28"/>
                      <w:szCs w:val="21"/>
                    </w:rPr>
                    <w:t>5</w:t>
                  </w:r>
                  <w:r>
                    <w:rPr>
                      <w:rFonts w:hint="eastAsia"/>
                      <w:color w:val="000000"/>
                      <w:kern w:val="28"/>
                      <w:szCs w:val="21"/>
                      <w:lang w:eastAsia="zh-CN"/>
                    </w:rPr>
                    <w:t>（</w:t>
                  </w:r>
                  <w:r>
                    <w:rPr>
                      <w:rFonts w:hint="eastAsia"/>
                      <w:color w:val="000000"/>
                      <w:kern w:val="28"/>
                      <w:szCs w:val="21"/>
                      <w:lang w:val="en-US" w:eastAsia="zh-CN"/>
                    </w:rPr>
                    <w:t>8</w:t>
                  </w:r>
                  <w:r>
                    <w:rPr>
                      <w:rFonts w:hint="eastAsia"/>
                      <w:color w:val="000000"/>
                      <w:kern w:val="28"/>
                      <w:szCs w:val="21"/>
                      <w:lang w:eastAsia="zh-CN"/>
                    </w:rPr>
                    <w:t>）</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2082B481">
                  <w:pPr>
                    <w:tabs>
                      <w:tab w:val="left" w:pos="9160"/>
                    </w:tabs>
                    <w:jc w:val="center"/>
                    <w:rPr>
                      <w:rFonts w:hint="eastAsia"/>
                      <w:szCs w:val="21"/>
                    </w:rPr>
                  </w:pPr>
                  <w:r>
                    <w:rPr>
                      <w:color w:val="000000"/>
                      <w:kern w:val="28"/>
                      <w:szCs w:val="21"/>
                    </w:rPr>
                    <w:t>10</w:t>
                  </w:r>
                </w:p>
              </w:tc>
              <w:tc>
                <w:tcPr>
                  <w:tcW w:w="805" w:type="pct"/>
                  <w:tcBorders>
                    <w:top w:val="single" w:color="auto" w:sz="4" w:space="0"/>
                    <w:left w:val="single" w:color="auto" w:sz="4" w:space="0"/>
                    <w:bottom w:val="single" w:color="auto" w:sz="4" w:space="0"/>
                    <w:right w:val="single" w:color="auto" w:sz="4" w:space="0"/>
                  </w:tcBorders>
                  <w:noWrap w:val="0"/>
                  <w:vAlign w:val="center"/>
                </w:tcPr>
                <w:p w14:paraId="29E5AA0A">
                  <w:pPr>
                    <w:tabs>
                      <w:tab w:val="left" w:pos="9160"/>
                    </w:tabs>
                    <w:jc w:val="center"/>
                    <w:rPr>
                      <w:rFonts w:hint="eastAsia"/>
                      <w:szCs w:val="21"/>
                    </w:rPr>
                  </w:pPr>
                  <w:r>
                    <w:rPr>
                      <w:rFonts w:hint="eastAsia"/>
                      <w:color w:val="000000"/>
                      <w:kern w:val="28"/>
                      <w:szCs w:val="21"/>
                      <w:lang w:val="en-US" w:eastAsia="zh-CN"/>
                    </w:rPr>
                    <w:t>10</w:t>
                  </w:r>
                </w:p>
              </w:tc>
            </w:tr>
          </w:tbl>
          <w:p w14:paraId="7A179F1A">
            <w:pPr>
              <w:numPr>
                <w:ilvl w:val="0"/>
                <w:numId w:val="3"/>
              </w:numPr>
              <w:spacing w:line="500" w:lineRule="atLeast"/>
              <w:ind w:firstLine="0" w:firstLineChars="0"/>
              <w:rPr>
                <w:rFonts w:hint="eastAsia"/>
                <w:b/>
                <w:bCs/>
                <w:color w:val="auto"/>
                <w:sz w:val="24"/>
                <w:lang w:val="en-US" w:eastAsia="zh-CN"/>
              </w:rPr>
            </w:pPr>
            <w:r>
              <w:rPr>
                <w:rFonts w:hint="eastAsia"/>
                <w:b/>
                <w:bCs/>
                <w:color w:val="auto"/>
                <w:sz w:val="24"/>
                <w:lang w:val="en-US" w:eastAsia="zh-CN"/>
              </w:rPr>
              <w:t>废气</w:t>
            </w:r>
            <w:bookmarkStart w:id="10" w:name="_Hlk86758354"/>
          </w:p>
          <w:bookmarkEnd w:id="10"/>
          <w:p w14:paraId="1705C765">
            <w:pPr>
              <w:spacing w:line="500" w:lineRule="atLeast"/>
              <w:ind w:firstLine="480" w:firstLineChars="200"/>
              <w:rPr>
                <w:color w:val="auto"/>
                <w:sz w:val="24"/>
              </w:rPr>
            </w:pPr>
            <w:r>
              <w:rPr>
                <w:rFonts w:hint="eastAsia"/>
                <w:snapToGrid w:val="0"/>
                <w:color w:val="auto"/>
                <w:kern w:val="0"/>
                <w:sz w:val="24"/>
              </w:rPr>
              <w:t>颗粒物</w:t>
            </w:r>
            <w:r>
              <w:rPr>
                <w:rFonts w:hint="eastAsia"/>
                <w:color w:val="auto"/>
                <w:kern w:val="0"/>
                <w:sz w:val="24"/>
              </w:rPr>
              <w:t>排放执行《</w:t>
            </w:r>
            <w:r>
              <w:rPr>
                <w:color w:val="auto"/>
                <w:kern w:val="0"/>
                <w:sz w:val="24"/>
              </w:rPr>
              <w:t>大气污染物综合排放标准</w:t>
            </w:r>
            <w:r>
              <w:rPr>
                <w:rFonts w:hint="eastAsia"/>
                <w:color w:val="auto"/>
                <w:kern w:val="0"/>
                <w:sz w:val="24"/>
              </w:rPr>
              <w:t>》（</w:t>
            </w:r>
            <w:r>
              <w:rPr>
                <w:color w:val="auto"/>
                <w:kern w:val="0"/>
                <w:sz w:val="24"/>
              </w:rPr>
              <w:t>GB16297-1996</w:t>
            </w:r>
            <w:r>
              <w:rPr>
                <w:rFonts w:hint="eastAsia"/>
                <w:color w:val="auto"/>
                <w:kern w:val="0"/>
                <w:sz w:val="24"/>
              </w:rPr>
              <w:t>）表</w:t>
            </w:r>
            <w:r>
              <w:rPr>
                <w:color w:val="auto"/>
                <w:kern w:val="0"/>
                <w:sz w:val="24"/>
              </w:rPr>
              <w:t>2</w:t>
            </w:r>
            <w:r>
              <w:rPr>
                <w:rFonts w:hint="eastAsia"/>
                <w:color w:val="auto"/>
                <w:kern w:val="0"/>
                <w:sz w:val="24"/>
              </w:rPr>
              <w:t>新污染源大气污染物排放限值</w:t>
            </w:r>
            <w:r>
              <w:rPr>
                <w:rFonts w:hint="eastAsia"/>
                <w:snapToGrid w:val="0"/>
                <w:color w:val="auto"/>
                <w:kern w:val="0"/>
                <w:sz w:val="24"/>
              </w:rPr>
              <w:t>。</w:t>
            </w:r>
          </w:p>
          <w:p w14:paraId="24616A26">
            <w:pPr>
              <w:adjustRightInd w:val="0"/>
              <w:snapToGrid w:val="0"/>
              <w:spacing w:line="500" w:lineRule="atLeast"/>
              <w:jc w:val="center"/>
              <w:rPr>
                <w:b/>
                <w:color w:val="auto"/>
                <w:kern w:val="0"/>
                <w:sz w:val="24"/>
                <w:highlight w:val="none"/>
              </w:rPr>
            </w:pPr>
            <w:r>
              <w:rPr>
                <w:rFonts w:hint="eastAsia"/>
                <w:b/>
                <w:color w:val="auto"/>
                <w:kern w:val="0"/>
                <w:sz w:val="24"/>
              </w:rPr>
              <w:t>表3</w:t>
            </w:r>
            <w:r>
              <w:rPr>
                <w:b/>
                <w:color w:val="auto"/>
                <w:kern w:val="0"/>
                <w:sz w:val="24"/>
              </w:rPr>
              <w:t>-</w:t>
            </w:r>
            <w:r>
              <w:rPr>
                <w:rFonts w:hint="eastAsia"/>
                <w:b/>
                <w:color w:val="auto"/>
                <w:kern w:val="0"/>
                <w:sz w:val="24"/>
                <w:lang w:val="en-US" w:eastAsia="zh-CN"/>
              </w:rPr>
              <w:t>5</w:t>
            </w:r>
            <w:r>
              <w:rPr>
                <w:b/>
                <w:color w:val="auto"/>
                <w:kern w:val="0"/>
                <w:sz w:val="24"/>
              </w:rPr>
              <w:t xml:space="preserve">  </w:t>
            </w:r>
            <w:r>
              <w:rPr>
                <w:rFonts w:hint="eastAsia"/>
                <w:b/>
                <w:color w:val="auto"/>
                <w:kern w:val="0"/>
                <w:sz w:val="24"/>
                <w:highlight w:val="none"/>
              </w:rPr>
              <w:t>《</w:t>
            </w:r>
            <w:r>
              <w:rPr>
                <w:b/>
                <w:color w:val="auto"/>
                <w:kern w:val="0"/>
                <w:sz w:val="24"/>
                <w:highlight w:val="none"/>
              </w:rPr>
              <w:t>大气污染物综合排放标准</w:t>
            </w:r>
            <w:r>
              <w:rPr>
                <w:rFonts w:hint="eastAsia"/>
                <w:b/>
                <w:color w:val="auto"/>
                <w:kern w:val="0"/>
                <w:sz w:val="24"/>
                <w:highlight w:val="none"/>
              </w:rPr>
              <w:t>》（</w:t>
            </w:r>
            <w:r>
              <w:rPr>
                <w:b/>
                <w:color w:val="auto"/>
                <w:kern w:val="0"/>
                <w:sz w:val="24"/>
                <w:highlight w:val="none"/>
              </w:rPr>
              <w:t>GB16297-1996</w:t>
            </w:r>
            <w:r>
              <w:rPr>
                <w:rFonts w:hint="eastAsia"/>
                <w:b/>
                <w:color w:val="auto"/>
                <w:kern w:val="0"/>
                <w:sz w:val="24"/>
                <w:highlight w:val="none"/>
              </w:rPr>
              <w:t>）新污染源大气污染物排放限值</w:t>
            </w:r>
          </w:p>
          <w:tbl>
            <w:tblPr>
              <w:tblStyle w:val="26"/>
              <w:tblW w:w="5000"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195"/>
              <w:gridCol w:w="1105"/>
              <w:gridCol w:w="526"/>
              <w:gridCol w:w="768"/>
              <w:gridCol w:w="1639"/>
              <w:gridCol w:w="1195"/>
            </w:tblGrid>
            <w:tr w14:paraId="65CB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restart"/>
                  <w:vAlign w:val="center"/>
                </w:tcPr>
                <w:p w14:paraId="4C8A9E21">
                  <w:pPr>
                    <w:tabs>
                      <w:tab w:val="left" w:pos="9160"/>
                    </w:tabs>
                    <w:snapToGrid w:val="0"/>
                    <w:jc w:val="center"/>
                    <w:rPr>
                      <w:color w:val="auto"/>
                      <w:kern w:val="0"/>
                      <w:szCs w:val="21"/>
                    </w:rPr>
                  </w:pPr>
                  <w:r>
                    <w:rPr>
                      <w:rFonts w:hint="eastAsia"/>
                      <w:color w:val="auto"/>
                      <w:kern w:val="0"/>
                      <w:szCs w:val="21"/>
                    </w:rPr>
                    <w:t>污染物</w:t>
                  </w:r>
                </w:p>
              </w:tc>
              <w:tc>
                <w:tcPr>
                  <w:tcW w:w="688" w:type="pct"/>
                  <w:vMerge w:val="restart"/>
                  <w:vAlign w:val="center"/>
                </w:tcPr>
                <w:p w14:paraId="647EC3C9">
                  <w:pPr>
                    <w:tabs>
                      <w:tab w:val="left" w:pos="9160"/>
                    </w:tabs>
                    <w:snapToGrid w:val="0"/>
                    <w:jc w:val="center"/>
                    <w:rPr>
                      <w:color w:val="auto"/>
                      <w:kern w:val="0"/>
                      <w:szCs w:val="21"/>
                    </w:rPr>
                  </w:pPr>
                  <w:r>
                    <w:rPr>
                      <w:rFonts w:hint="eastAsia"/>
                      <w:color w:val="auto"/>
                      <w:kern w:val="0"/>
                      <w:szCs w:val="21"/>
                    </w:rPr>
                    <w:t>最高允许排放浓度</w:t>
                  </w:r>
                </w:p>
                <w:p w14:paraId="2252C670">
                  <w:pPr>
                    <w:tabs>
                      <w:tab w:val="left" w:pos="9160"/>
                    </w:tabs>
                    <w:snapToGrid w:val="0"/>
                    <w:jc w:val="center"/>
                    <w:rPr>
                      <w:color w:val="auto"/>
                      <w:kern w:val="0"/>
                      <w:szCs w:val="21"/>
                    </w:rPr>
                  </w:pPr>
                  <w:r>
                    <w:rPr>
                      <w:rFonts w:hint="eastAsia"/>
                      <w:color w:val="auto"/>
                      <w:kern w:val="0"/>
                      <w:szCs w:val="21"/>
                    </w:rPr>
                    <w:t>（</w:t>
                  </w:r>
                  <w:r>
                    <w:rPr>
                      <w:color w:val="auto"/>
                      <w:kern w:val="0"/>
                      <w:szCs w:val="21"/>
                    </w:rPr>
                    <w:t>mg/m</w:t>
                  </w:r>
                  <w:r>
                    <w:rPr>
                      <w:rFonts w:hint="eastAsia"/>
                      <w:color w:val="auto"/>
                      <w:kern w:val="0"/>
                      <w:szCs w:val="21"/>
                      <w:vertAlign w:val="superscript"/>
                      <w:lang w:val="en-US" w:eastAsia="zh-CN"/>
                    </w:rPr>
                    <w:t>2</w:t>
                  </w:r>
                  <w:r>
                    <w:rPr>
                      <w:rFonts w:hint="eastAsia"/>
                      <w:color w:val="auto"/>
                      <w:kern w:val="0"/>
                      <w:szCs w:val="21"/>
                    </w:rPr>
                    <w:t>）</w:t>
                  </w:r>
                </w:p>
              </w:tc>
              <w:tc>
                <w:tcPr>
                  <w:tcW w:w="1612" w:type="pct"/>
                  <w:gridSpan w:val="3"/>
                  <w:vAlign w:val="center"/>
                </w:tcPr>
                <w:p w14:paraId="2CE1D77A">
                  <w:pPr>
                    <w:tabs>
                      <w:tab w:val="left" w:pos="9160"/>
                    </w:tabs>
                    <w:snapToGrid w:val="0"/>
                    <w:jc w:val="center"/>
                    <w:rPr>
                      <w:color w:val="auto"/>
                      <w:kern w:val="0"/>
                      <w:szCs w:val="21"/>
                    </w:rPr>
                  </w:pPr>
                  <w:r>
                    <w:rPr>
                      <w:rFonts w:hint="eastAsia"/>
                      <w:color w:val="auto"/>
                      <w:kern w:val="0"/>
                      <w:szCs w:val="21"/>
                    </w:rPr>
                    <w:t>最高允许排放速率（</w:t>
                  </w:r>
                  <w:r>
                    <w:rPr>
                      <w:color w:val="auto"/>
                      <w:kern w:val="0"/>
                      <w:szCs w:val="21"/>
                    </w:rPr>
                    <w:t>kg/h</w:t>
                  </w:r>
                  <w:r>
                    <w:rPr>
                      <w:rFonts w:hint="eastAsia"/>
                      <w:color w:val="auto"/>
                      <w:kern w:val="0"/>
                      <w:szCs w:val="21"/>
                    </w:rPr>
                    <w:t>）</w:t>
                  </w:r>
                </w:p>
              </w:tc>
              <w:tc>
                <w:tcPr>
                  <w:tcW w:w="1760" w:type="pct"/>
                  <w:gridSpan w:val="2"/>
                  <w:vAlign w:val="center"/>
                </w:tcPr>
                <w:p w14:paraId="4EBA14E8">
                  <w:pPr>
                    <w:tabs>
                      <w:tab w:val="left" w:pos="9160"/>
                    </w:tabs>
                    <w:snapToGrid w:val="0"/>
                    <w:jc w:val="center"/>
                    <w:rPr>
                      <w:color w:val="auto"/>
                      <w:kern w:val="0"/>
                      <w:szCs w:val="21"/>
                    </w:rPr>
                  </w:pPr>
                  <w:r>
                    <w:rPr>
                      <w:rFonts w:hint="eastAsia"/>
                      <w:color w:val="auto"/>
                      <w:kern w:val="0"/>
                      <w:szCs w:val="21"/>
                    </w:rPr>
                    <w:t>无组织排放监控浓度限值</w:t>
                  </w:r>
                </w:p>
              </w:tc>
            </w:tr>
            <w:tr w14:paraId="35F3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Merge w:val="continue"/>
                  <w:vAlign w:val="center"/>
                </w:tcPr>
                <w:p w14:paraId="603C83FF">
                  <w:pPr>
                    <w:tabs>
                      <w:tab w:val="left" w:pos="9160"/>
                    </w:tabs>
                    <w:snapToGrid w:val="0"/>
                    <w:jc w:val="center"/>
                    <w:rPr>
                      <w:color w:val="auto"/>
                      <w:kern w:val="0"/>
                      <w:szCs w:val="21"/>
                    </w:rPr>
                  </w:pPr>
                </w:p>
              </w:tc>
              <w:tc>
                <w:tcPr>
                  <w:tcW w:w="688" w:type="pct"/>
                  <w:vMerge w:val="continue"/>
                  <w:vAlign w:val="center"/>
                </w:tcPr>
                <w:p w14:paraId="524E801F">
                  <w:pPr>
                    <w:tabs>
                      <w:tab w:val="left" w:pos="9160"/>
                    </w:tabs>
                    <w:snapToGrid w:val="0"/>
                    <w:jc w:val="center"/>
                    <w:rPr>
                      <w:color w:val="auto"/>
                      <w:kern w:val="0"/>
                      <w:szCs w:val="21"/>
                    </w:rPr>
                  </w:pPr>
                </w:p>
              </w:tc>
              <w:tc>
                <w:tcPr>
                  <w:tcW w:w="732" w:type="pct"/>
                  <w:vAlign w:val="center"/>
                </w:tcPr>
                <w:p w14:paraId="27DFDF00">
                  <w:pPr>
                    <w:tabs>
                      <w:tab w:val="left" w:pos="9160"/>
                    </w:tabs>
                    <w:snapToGrid w:val="0"/>
                    <w:jc w:val="center"/>
                    <w:rPr>
                      <w:color w:val="auto"/>
                      <w:kern w:val="0"/>
                      <w:szCs w:val="21"/>
                    </w:rPr>
                  </w:pPr>
                  <w:r>
                    <w:rPr>
                      <w:rFonts w:hint="eastAsia"/>
                      <w:color w:val="auto"/>
                      <w:kern w:val="0"/>
                      <w:szCs w:val="21"/>
                    </w:rPr>
                    <w:t>排气筒高度（m）</w:t>
                  </w:r>
                </w:p>
              </w:tc>
              <w:tc>
                <w:tcPr>
                  <w:tcW w:w="363" w:type="pct"/>
                  <w:vAlign w:val="center"/>
                </w:tcPr>
                <w:p w14:paraId="4B61B35C">
                  <w:pPr>
                    <w:tabs>
                      <w:tab w:val="left" w:pos="9160"/>
                    </w:tabs>
                    <w:snapToGrid w:val="0"/>
                    <w:jc w:val="center"/>
                    <w:rPr>
                      <w:color w:val="auto"/>
                      <w:kern w:val="0"/>
                      <w:szCs w:val="21"/>
                    </w:rPr>
                  </w:pPr>
                  <w:r>
                    <w:rPr>
                      <w:rFonts w:hint="eastAsia"/>
                      <w:color w:val="auto"/>
                      <w:kern w:val="0"/>
                      <w:szCs w:val="21"/>
                    </w:rPr>
                    <w:t>二级</w:t>
                  </w:r>
                </w:p>
              </w:tc>
              <w:tc>
                <w:tcPr>
                  <w:tcW w:w="516" w:type="pct"/>
                  <w:vAlign w:val="center"/>
                </w:tcPr>
                <w:p w14:paraId="0D0B4EE4">
                  <w:pPr>
                    <w:tabs>
                      <w:tab w:val="left" w:pos="9160"/>
                    </w:tabs>
                    <w:snapToGrid w:val="0"/>
                    <w:jc w:val="center"/>
                    <w:rPr>
                      <w:color w:val="auto"/>
                      <w:kern w:val="0"/>
                      <w:szCs w:val="21"/>
                    </w:rPr>
                  </w:pPr>
                  <w:r>
                    <w:rPr>
                      <w:rFonts w:hint="eastAsia"/>
                      <w:color w:val="auto"/>
                      <w:kern w:val="0"/>
                      <w:szCs w:val="21"/>
                    </w:rPr>
                    <w:t>二级5</w:t>
                  </w:r>
                  <w:r>
                    <w:rPr>
                      <w:color w:val="auto"/>
                      <w:kern w:val="0"/>
                      <w:szCs w:val="21"/>
                    </w:rPr>
                    <w:t>0</w:t>
                  </w:r>
                  <w:r>
                    <w:rPr>
                      <w:rFonts w:hint="eastAsia"/>
                      <w:color w:val="auto"/>
                      <w:kern w:val="0"/>
                      <w:szCs w:val="21"/>
                    </w:rPr>
                    <w:t>%</w:t>
                  </w:r>
                </w:p>
              </w:tc>
              <w:tc>
                <w:tcPr>
                  <w:tcW w:w="1071" w:type="pct"/>
                  <w:vAlign w:val="center"/>
                </w:tcPr>
                <w:p w14:paraId="0D455C50">
                  <w:pPr>
                    <w:tabs>
                      <w:tab w:val="left" w:pos="9160"/>
                    </w:tabs>
                    <w:snapToGrid w:val="0"/>
                    <w:jc w:val="center"/>
                    <w:rPr>
                      <w:color w:val="auto"/>
                      <w:kern w:val="0"/>
                      <w:szCs w:val="21"/>
                    </w:rPr>
                  </w:pPr>
                  <w:r>
                    <w:rPr>
                      <w:rFonts w:hint="eastAsia"/>
                      <w:color w:val="auto"/>
                      <w:kern w:val="0"/>
                      <w:szCs w:val="21"/>
                    </w:rPr>
                    <w:t>监控点</w:t>
                  </w:r>
                </w:p>
              </w:tc>
              <w:tc>
                <w:tcPr>
                  <w:tcW w:w="688" w:type="pct"/>
                  <w:vAlign w:val="center"/>
                </w:tcPr>
                <w:p w14:paraId="70404562">
                  <w:pPr>
                    <w:tabs>
                      <w:tab w:val="left" w:pos="9160"/>
                    </w:tabs>
                    <w:snapToGrid w:val="0"/>
                    <w:jc w:val="center"/>
                    <w:rPr>
                      <w:color w:val="auto"/>
                      <w:kern w:val="0"/>
                      <w:szCs w:val="21"/>
                    </w:rPr>
                  </w:pPr>
                  <w:r>
                    <w:rPr>
                      <w:rFonts w:hint="eastAsia"/>
                      <w:color w:val="auto"/>
                      <w:kern w:val="0"/>
                      <w:szCs w:val="21"/>
                    </w:rPr>
                    <w:t>浓度</w:t>
                  </w:r>
                </w:p>
                <w:p w14:paraId="0516B4C3">
                  <w:pPr>
                    <w:tabs>
                      <w:tab w:val="left" w:pos="9160"/>
                    </w:tabs>
                    <w:snapToGrid w:val="0"/>
                    <w:jc w:val="center"/>
                    <w:rPr>
                      <w:color w:val="auto"/>
                      <w:kern w:val="0"/>
                      <w:szCs w:val="21"/>
                    </w:rPr>
                  </w:pPr>
                  <w:r>
                    <w:rPr>
                      <w:rFonts w:hint="eastAsia"/>
                      <w:color w:val="auto"/>
                      <w:kern w:val="0"/>
                      <w:szCs w:val="21"/>
                    </w:rPr>
                    <w:t>（</w:t>
                  </w:r>
                  <w:r>
                    <w:rPr>
                      <w:color w:val="auto"/>
                      <w:kern w:val="0"/>
                      <w:szCs w:val="21"/>
                    </w:rPr>
                    <w:t>mg/m</w:t>
                  </w:r>
                  <w:r>
                    <w:rPr>
                      <w:color w:val="auto"/>
                      <w:kern w:val="0"/>
                      <w:szCs w:val="21"/>
                      <w:vertAlign w:val="superscript"/>
                    </w:rPr>
                    <w:t>3</w:t>
                  </w:r>
                  <w:r>
                    <w:rPr>
                      <w:rFonts w:hint="eastAsia"/>
                      <w:color w:val="auto"/>
                      <w:kern w:val="0"/>
                      <w:szCs w:val="21"/>
                    </w:rPr>
                    <w:t>）</w:t>
                  </w:r>
                </w:p>
              </w:tc>
            </w:tr>
            <w:tr w14:paraId="1C21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pct"/>
                  <w:vAlign w:val="center"/>
                </w:tcPr>
                <w:p w14:paraId="6D3DFD14">
                  <w:pPr>
                    <w:tabs>
                      <w:tab w:val="left" w:pos="9160"/>
                    </w:tabs>
                    <w:snapToGrid w:val="0"/>
                    <w:jc w:val="center"/>
                    <w:rPr>
                      <w:color w:val="auto"/>
                      <w:kern w:val="0"/>
                      <w:szCs w:val="21"/>
                    </w:rPr>
                  </w:pPr>
                  <w:r>
                    <w:rPr>
                      <w:rFonts w:hint="eastAsia"/>
                      <w:color w:val="auto"/>
                      <w:kern w:val="0"/>
                      <w:szCs w:val="21"/>
                    </w:rPr>
                    <w:t>颗粒物（</w:t>
                  </w:r>
                  <w:r>
                    <w:rPr>
                      <w:rFonts w:hint="eastAsia"/>
                      <w:color w:val="auto"/>
                      <w:kern w:val="0"/>
                      <w:szCs w:val="21"/>
                      <w:lang w:val="en-US" w:eastAsia="zh-CN"/>
                    </w:rPr>
                    <w:t>石英粉尘</w:t>
                  </w:r>
                  <w:r>
                    <w:rPr>
                      <w:rFonts w:hint="eastAsia"/>
                      <w:color w:val="auto"/>
                      <w:kern w:val="0"/>
                      <w:szCs w:val="21"/>
                    </w:rPr>
                    <w:t>）</w:t>
                  </w:r>
                </w:p>
              </w:tc>
              <w:tc>
                <w:tcPr>
                  <w:tcW w:w="688" w:type="pct"/>
                  <w:vAlign w:val="center"/>
                </w:tcPr>
                <w:p w14:paraId="0F8035FF">
                  <w:pPr>
                    <w:tabs>
                      <w:tab w:val="left" w:pos="9160"/>
                    </w:tabs>
                    <w:snapToGrid w:val="0"/>
                    <w:jc w:val="center"/>
                    <w:rPr>
                      <w:rFonts w:hint="default" w:eastAsia="宋体"/>
                      <w:color w:val="auto"/>
                      <w:kern w:val="0"/>
                      <w:szCs w:val="21"/>
                      <w:lang w:val="en-US" w:eastAsia="zh-CN"/>
                    </w:rPr>
                  </w:pPr>
                  <w:r>
                    <w:rPr>
                      <w:rFonts w:hint="eastAsia"/>
                      <w:color w:val="auto"/>
                      <w:kern w:val="0"/>
                      <w:szCs w:val="21"/>
                      <w:lang w:val="en-US" w:eastAsia="zh-CN"/>
                    </w:rPr>
                    <w:t>60</w:t>
                  </w:r>
                </w:p>
              </w:tc>
              <w:tc>
                <w:tcPr>
                  <w:tcW w:w="732" w:type="pct"/>
                  <w:vAlign w:val="center"/>
                </w:tcPr>
                <w:p w14:paraId="70DDE40D">
                  <w:pPr>
                    <w:tabs>
                      <w:tab w:val="left" w:pos="9160"/>
                    </w:tabs>
                    <w:snapToGrid w:val="0"/>
                    <w:jc w:val="center"/>
                    <w:rPr>
                      <w:color w:val="auto"/>
                      <w:kern w:val="0"/>
                      <w:szCs w:val="21"/>
                    </w:rPr>
                  </w:pPr>
                  <w:r>
                    <w:rPr>
                      <w:rFonts w:hint="eastAsia"/>
                      <w:color w:val="auto"/>
                      <w:kern w:val="0"/>
                      <w:szCs w:val="21"/>
                    </w:rPr>
                    <w:t>1</w:t>
                  </w:r>
                  <w:r>
                    <w:rPr>
                      <w:color w:val="auto"/>
                      <w:kern w:val="0"/>
                      <w:szCs w:val="21"/>
                    </w:rPr>
                    <w:t>5</w:t>
                  </w:r>
                </w:p>
              </w:tc>
              <w:tc>
                <w:tcPr>
                  <w:tcW w:w="363" w:type="pct"/>
                  <w:vAlign w:val="center"/>
                </w:tcPr>
                <w:p w14:paraId="47F2E4B2">
                  <w:pPr>
                    <w:tabs>
                      <w:tab w:val="left" w:pos="9160"/>
                    </w:tabs>
                    <w:snapToGrid w:val="0"/>
                    <w:jc w:val="center"/>
                    <w:rPr>
                      <w:rFonts w:hint="default" w:eastAsia="宋体"/>
                      <w:color w:val="auto"/>
                      <w:kern w:val="0"/>
                      <w:szCs w:val="21"/>
                      <w:lang w:val="en-US" w:eastAsia="zh-CN"/>
                    </w:rPr>
                  </w:pPr>
                  <w:r>
                    <w:rPr>
                      <w:rFonts w:hint="eastAsia"/>
                      <w:color w:val="auto"/>
                      <w:kern w:val="0"/>
                      <w:szCs w:val="21"/>
                      <w:lang w:val="en-US" w:eastAsia="zh-CN"/>
                    </w:rPr>
                    <w:t>1.9</w:t>
                  </w:r>
                </w:p>
              </w:tc>
              <w:tc>
                <w:tcPr>
                  <w:tcW w:w="516" w:type="pct"/>
                  <w:vAlign w:val="center"/>
                </w:tcPr>
                <w:p w14:paraId="02002041">
                  <w:pPr>
                    <w:tabs>
                      <w:tab w:val="left" w:pos="9160"/>
                    </w:tabs>
                    <w:snapToGrid w:val="0"/>
                    <w:jc w:val="center"/>
                    <w:rPr>
                      <w:rFonts w:hint="default" w:eastAsia="宋体"/>
                      <w:color w:val="auto"/>
                      <w:kern w:val="0"/>
                      <w:szCs w:val="21"/>
                      <w:lang w:val="en-US" w:eastAsia="zh-CN"/>
                    </w:rPr>
                  </w:pPr>
                  <w:r>
                    <w:rPr>
                      <w:rFonts w:hint="eastAsia"/>
                      <w:color w:val="auto"/>
                      <w:szCs w:val="21"/>
                      <w:lang w:val="en-US" w:eastAsia="zh-CN"/>
                    </w:rPr>
                    <w:t>0.95</w:t>
                  </w:r>
                </w:p>
              </w:tc>
              <w:tc>
                <w:tcPr>
                  <w:tcW w:w="1071" w:type="pct"/>
                  <w:vAlign w:val="center"/>
                </w:tcPr>
                <w:p w14:paraId="2D530AD8">
                  <w:pPr>
                    <w:tabs>
                      <w:tab w:val="left" w:pos="9160"/>
                    </w:tabs>
                    <w:snapToGrid w:val="0"/>
                    <w:jc w:val="center"/>
                    <w:rPr>
                      <w:color w:val="auto"/>
                      <w:kern w:val="0"/>
                      <w:szCs w:val="21"/>
                    </w:rPr>
                  </w:pPr>
                  <w:r>
                    <w:rPr>
                      <w:rFonts w:hint="eastAsia"/>
                      <w:color w:val="auto"/>
                      <w:kern w:val="0"/>
                      <w:szCs w:val="21"/>
                    </w:rPr>
                    <w:t>周界外浓度最高点</w:t>
                  </w:r>
                </w:p>
              </w:tc>
              <w:tc>
                <w:tcPr>
                  <w:tcW w:w="688" w:type="pct"/>
                  <w:vAlign w:val="center"/>
                </w:tcPr>
                <w:p w14:paraId="5B7F6850">
                  <w:pPr>
                    <w:tabs>
                      <w:tab w:val="left" w:pos="9160"/>
                    </w:tabs>
                    <w:snapToGrid w:val="0"/>
                    <w:jc w:val="center"/>
                    <w:rPr>
                      <w:color w:val="auto"/>
                      <w:kern w:val="0"/>
                      <w:szCs w:val="21"/>
                    </w:rPr>
                  </w:pPr>
                  <w:r>
                    <w:rPr>
                      <w:rFonts w:hint="eastAsia"/>
                      <w:color w:val="auto"/>
                      <w:kern w:val="0"/>
                      <w:szCs w:val="21"/>
                    </w:rPr>
                    <w:t>1</w:t>
                  </w:r>
                  <w:r>
                    <w:rPr>
                      <w:color w:val="auto"/>
                      <w:kern w:val="0"/>
                      <w:szCs w:val="21"/>
                    </w:rPr>
                    <w:t>.0</w:t>
                  </w:r>
                </w:p>
              </w:tc>
            </w:tr>
          </w:tbl>
          <w:p w14:paraId="6E8E1D60">
            <w:pPr>
              <w:adjustRightInd w:val="0"/>
              <w:snapToGrid w:val="0"/>
              <w:jc w:val="left"/>
              <w:rPr>
                <w:bCs/>
                <w:color w:val="auto"/>
                <w:sz w:val="18"/>
                <w:szCs w:val="18"/>
              </w:rPr>
            </w:pPr>
            <w:r>
              <w:rPr>
                <w:rFonts w:hint="eastAsia"/>
                <w:bCs/>
                <w:color w:val="auto"/>
                <w:sz w:val="18"/>
                <w:szCs w:val="18"/>
              </w:rPr>
              <w:t>注：</w:t>
            </w:r>
            <w:r>
              <w:rPr>
                <w:rFonts w:hint="eastAsia"/>
                <w:bCs/>
                <w:color w:val="auto"/>
                <w:kern w:val="0"/>
                <w:sz w:val="18"/>
                <w:szCs w:val="18"/>
              </w:rPr>
              <w:t>《</w:t>
            </w:r>
            <w:r>
              <w:rPr>
                <w:bCs/>
                <w:color w:val="auto"/>
                <w:kern w:val="0"/>
                <w:sz w:val="18"/>
                <w:szCs w:val="18"/>
              </w:rPr>
              <w:t>大气污染物综合排放标准</w:t>
            </w:r>
            <w:r>
              <w:rPr>
                <w:rFonts w:hint="eastAsia"/>
                <w:bCs/>
                <w:color w:val="auto"/>
                <w:kern w:val="0"/>
                <w:sz w:val="18"/>
                <w:szCs w:val="18"/>
              </w:rPr>
              <w:t>》（</w:t>
            </w:r>
            <w:r>
              <w:rPr>
                <w:bCs/>
                <w:color w:val="auto"/>
                <w:kern w:val="0"/>
                <w:sz w:val="18"/>
                <w:szCs w:val="18"/>
              </w:rPr>
              <w:t>GB16297-1996</w:t>
            </w:r>
            <w:r>
              <w:rPr>
                <w:rFonts w:hint="eastAsia"/>
                <w:bCs/>
                <w:color w:val="auto"/>
                <w:kern w:val="0"/>
                <w:sz w:val="18"/>
                <w:szCs w:val="18"/>
              </w:rPr>
              <w:t>）7</w:t>
            </w:r>
            <w:r>
              <w:rPr>
                <w:bCs/>
                <w:color w:val="auto"/>
                <w:kern w:val="0"/>
                <w:sz w:val="18"/>
                <w:szCs w:val="18"/>
              </w:rPr>
              <w:t>.1</w:t>
            </w:r>
            <w:r>
              <w:rPr>
                <w:rFonts w:hint="eastAsia"/>
                <w:bCs/>
                <w:color w:val="auto"/>
                <w:kern w:val="0"/>
                <w:sz w:val="18"/>
                <w:szCs w:val="18"/>
              </w:rPr>
              <w:t>排气筒高度必须遵守表列排放速率标准值外，还应高出周围2</w:t>
            </w:r>
            <w:r>
              <w:rPr>
                <w:bCs/>
                <w:color w:val="auto"/>
                <w:kern w:val="0"/>
                <w:sz w:val="18"/>
                <w:szCs w:val="18"/>
              </w:rPr>
              <w:t>00</w:t>
            </w:r>
            <w:r>
              <w:rPr>
                <w:rFonts w:hint="eastAsia"/>
                <w:bCs/>
                <w:color w:val="auto"/>
                <w:kern w:val="0"/>
                <w:sz w:val="18"/>
                <w:szCs w:val="18"/>
              </w:rPr>
              <w:t>m半径范围的建筑5m以上，不能达到该要求的排气筒，应按其高度对应的表列排放速率标准值严格5</w:t>
            </w:r>
            <w:r>
              <w:rPr>
                <w:bCs/>
                <w:color w:val="auto"/>
                <w:kern w:val="0"/>
                <w:sz w:val="18"/>
                <w:szCs w:val="18"/>
              </w:rPr>
              <w:t>0</w:t>
            </w:r>
            <w:r>
              <w:rPr>
                <w:rFonts w:hint="eastAsia"/>
                <w:bCs/>
                <w:color w:val="auto"/>
                <w:kern w:val="0"/>
                <w:sz w:val="18"/>
                <w:szCs w:val="18"/>
              </w:rPr>
              <w:t>%执行。</w:t>
            </w:r>
          </w:p>
          <w:p w14:paraId="700822B5">
            <w:pPr>
              <w:spacing w:line="400" w:lineRule="exact"/>
              <w:ind w:firstLine="482"/>
              <w:jc w:val="both"/>
              <w:rPr>
                <w:b/>
                <w:bCs/>
                <w:color w:val="auto"/>
                <w:sz w:val="24"/>
              </w:rPr>
            </w:pPr>
            <w:r>
              <w:rPr>
                <w:rFonts w:hint="eastAsia"/>
                <w:b/>
                <w:bCs/>
                <w:color w:val="auto"/>
                <w:sz w:val="24"/>
                <w:lang w:val="en-US" w:eastAsia="zh-CN"/>
              </w:rPr>
              <w:t>3、</w:t>
            </w:r>
            <w:r>
              <w:rPr>
                <w:rFonts w:hint="eastAsia"/>
                <w:b/>
                <w:bCs/>
                <w:color w:val="auto"/>
                <w:sz w:val="24"/>
              </w:rPr>
              <w:t>噪声</w:t>
            </w:r>
          </w:p>
          <w:p w14:paraId="61411006">
            <w:pPr>
              <w:spacing w:line="540" w:lineRule="atLeast"/>
              <w:ind w:firstLine="480" w:firstLineChars="200"/>
              <w:rPr>
                <w:snapToGrid w:val="0"/>
                <w:color w:val="auto"/>
                <w:kern w:val="24"/>
                <w:sz w:val="24"/>
              </w:rPr>
            </w:pPr>
            <w:r>
              <w:rPr>
                <w:snapToGrid w:val="0"/>
                <w:color w:val="auto"/>
                <w:kern w:val="0"/>
                <w:sz w:val="24"/>
              </w:rPr>
              <w:t>施工期建筑施工厂界噪声执行《建筑施工场界环境噪声排放标准》（GB12523-2011）；</w:t>
            </w:r>
            <w:r>
              <w:rPr>
                <w:snapToGrid w:val="0"/>
                <w:color w:val="auto"/>
                <w:kern w:val="24"/>
                <w:sz w:val="24"/>
              </w:rPr>
              <w:t>营运期噪声执行</w:t>
            </w:r>
            <w:r>
              <w:rPr>
                <w:rFonts w:hint="eastAsia"/>
                <w:color w:val="auto"/>
                <w:sz w:val="24"/>
              </w:rPr>
              <w:t>工业企业厂界环境噪声排放标准》（</w:t>
            </w:r>
            <w:r>
              <w:rPr>
                <w:color w:val="auto"/>
                <w:sz w:val="24"/>
              </w:rPr>
              <w:t>GB12348-2008</w:t>
            </w:r>
            <w:r>
              <w:rPr>
                <w:rFonts w:hint="eastAsia"/>
                <w:color w:val="auto"/>
                <w:sz w:val="24"/>
              </w:rPr>
              <w:t>）</w:t>
            </w:r>
            <w:r>
              <w:rPr>
                <w:snapToGrid w:val="0"/>
                <w:color w:val="auto"/>
                <w:kern w:val="24"/>
                <w:sz w:val="24"/>
              </w:rPr>
              <w:t>中3类标准。</w:t>
            </w:r>
          </w:p>
          <w:p w14:paraId="08AACCF4">
            <w:pPr>
              <w:spacing w:line="540" w:lineRule="atLeast"/>
              <w:jc w:val="center"/>
              <w:rPr>
                <w:color w:val="auto"/>
                <w:sz w:val="18"/>
                <w:szCs w:val="18"/>
              </w:rPr>
            </w:pPr>
            <w:r>
              <w:rPr>
                <w:b/>
                <w:snapToGrid w:val="0"/>
                <w:color w:val="auto"/>
                <w:kern w:val="0"/>
                <w:sz w:val="24"/>
              </w:rPr>
              <w:t>表3-</w:t>
            </w:r>
            <w:r>
              <w:rPr>
                <w:rFonts w:hint="eastAsia"/>
                <w:b/>
                <w:snapToGrid w:val="0"/>
                <w:color w:val="auto"/>
                <w:kern w:val="0"/>
                <w:sz w:val="24"/>
                <w:lang w:val="en-US" w:eastAsia="zh-CN"/>
              </w:rPr>
              <w:t>6</w:t>
            </w:r>
            <w:r>
              <w:rPr>
                <w:b/>
                <w:snapToGrid w:val="0"/>
                <w:color w:val="auto"/>
                <w:kern w:val="0"/>
                <w:sz w:val="24"/>
              </w:rPr>
              <w:t xml:space="preserve">    建筑施工场界环境噪声排放标准</w:t>
            </w:r>
            <w:r>
              <w:rPr>
                <w:rFonts w:hint="eastAsia"/>
                <w:b/>
                <w:snapToGrid w:val="0"/>
                <w:color w:val="auto"/>
                <w:kern w:val="0"/>
                <w:sz w:val="24"/>
              </w:rPr>
              <w:t xml:space="preserve"> </w:t>
            </w:r>
            <w:r>
              <w:rPr>
                <w:b/>
                <w:snapToGrid w:val="0"/>
                <w:color w:val="auto"/>
                <w:kern w:val="0"/>
                <w:sz w:val="24"/>
              </w:rPr>
              <w:t xml:space="preserve">   </w:t>
            </w:r>
            <w:r>
              <w:rPr>
                <w:color w:val="auto"/>
                <w:sz w:val="18"/>
                <w:szCs w:val="18"/>
              </w:rPr>
              <w:t>单位：dB(A)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8"/>
              <w:gridCol w:w="3929"/>
            </w:tblGrid>
            <w:tr w14:paraId="5CA2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0" w:type="pct"/>
                  <w:tcBorders>
                    <w:bottom w:val="single" w:color="auto" w:sz="4" w:space="0"/>
                  </w:tcBorders>
                  <w:vAlign w:val="center"/>
                </w:tcPr>
                <w:p w14:paraId="6D2EDB9C">
                  <w:pPr>
                    <w:tabs>
                      <w:tab w:val="left" w:pos="9160"/>
                    </w:tabs>
                    <w:jc w:val="center"/>
                    <w:rPr>
                      <w:snapToGrid w:val="0"/>
                      <w:color w:val="auto"/>
                      <w:kern w:val="28"/>
                      <w:szCs w:val="21"/>
                    </w:rPr>
                  </w:pPr>
                  <w:r>
                    <w:rPr>
                      <w:snapToGrid w:val="0"/>
                      <w:color w:val="auto"/>
                      <w:kern w:val="28"/>
                      <w:szCs w:val="21"/>
                    </w:rPr>
                    <w:t>昼间</w:t>
                  </w:r>
                </w:p>
              </w:tc>
              <w:tc>
                <w:tcPr>
                  <w:tcW w:w="2500" w:type="pct"/>
                  <w:tcBorders>
                    <w:bottom w:val="single" w:color="auto" w:sz="4" w:space="0"/>
                  </w:tcBorders>
                  <w:vAlign w:val="center"/>
                </w:tcPr>
                <w:p w14:paraId="0554C0FF">
                  <w:pPr>
                    <w:tabs>
                      <w:tab w:val="left" w:pos="9160"/>
                    </w:tabs>
                    <w:jc w:val="center"/>
                    <w:rPr>
                      <w:snapToGrid w:val="0"/>
                      <w:color w:val="auto"/>
                      <w:kern w:val="28"/>
                      <w:szCs w:val="21"/>
                    </w:rPr>
                  </w:pPr>
                  <w:r>
                    <w:rPr>
                      <w:snapToGrid w:val="0"/>
                      <w:color w:val="auto"/>
                      <w:kern w:val="28"/>
                      <w:szCs w:val="21"/>
                    </w:rPr>
                    <w:t>夜间</w:t>
                  </w:r>
                </w:p>
              </w:tc>
            </w:tr>
            <w:tr w14:paraId="3814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00" w:type="pct"/>
                  <w:tcBorders>
                    <w:bottom w:val="single" w:color="auto" w:sz="4" w:space="0"/>
                  </w:tcBorders>
                  <w:vAlign w:val="center"/>
                </w:tcPr>
                <w:p w14:paraId="63DE3866">
                  <w:pPr>
                    <w:tabs>
                      <w:tab w:val="left" w:pos="9160"/>
                    </w:tabs>
                    <w:jc w:val="center"/>
                    <w:rPr>
                      <w:snapToGrid w:val="0"/>
                      <w:color w:val="auto"/>
                      <w:kern w:val="28"/>
                      <w:szCs w:val="21"/>
                    </w:rPr>
                  </w:pPr>
                  <w:r>
                    <w:rPr>
                      <w:snapToGrid w:val="0"/>
                      <w:color w:val="auto"/>
                      <w:kern w:val="28"/>
                      <w:szCs w:val="21"/>
                    </w:rPr>
                    <w:t>70</w:t>
                  </w:r>
                </w:p>
              </w:tc>
              <w:tc>
                <w:tcPr>
                  <w:tcW w:w="2500" w:type="pct"/>
                  <w:tcBorders>
                    <w:bottom w:val="single" w:color="auto" w:sz="4" w:space="0"/>
                  </w:tcBorders>
                  <w:vAlign w:val="center"/>
                </w:tcPr>
                <w:p w14:paraId="12B6A0C4">
                  <w:pPr>
                    <w:tabs>
                      <w:tab w:val="left" w:pos="9160"/>
                    </w:tabs>
                    <w:jc w:val="center"/>
                    <w:rPr>
                      <w:snapToGrid w:val="0"/>
                      <w:color w:val="auto"/>
                      <w:kern w:val="28"/>
                      <w:szCs w:val="21"/>
                    </w:rPr>
                  </w:pPr>
                  <w:r>
                    <w:rPr>
                      <w:snapToGrid w:val="0"/>
                      <w:color w:val="auto"/>
                      <w:kern w:val="28"/>
                      <w:szCs w:val="21"/>
                    </w:rPr>
                    <w:t>55</w:t>
                  </w:r>
                </w:p>
              </w:tc>
            </w:tr>
          </w:tbl>
          <w:p w14:paraId="29DCA1DE">
            <w:pPr>
              <w:spacing w:line="540" w:lineRule="exact"/>
              <w:ind w:firstLine="522"/>
              <w:jc w:val="center"/>
              <w:rPr>
                <w:color w:val="auto"/>
                <w:sz w:val="24"/>
              </w:rPr>
            </w:pPr>
            <w:r>
              <w:rPr>
                <w:b/>
                <w:color w:val="auto"/>
                <w:sz w:val="24"/>
              </w:rPr>
              <w:t>表3-</w:t>
            </w:r>
            <w:r>
              <w:rPr>
                <w:rFonts w:hint="eastAsia"/>
                <w:b/>
                <w:color w:val="auto"/>
                <w:sz w:val="24"/>
                <w:lang w:val="en-US" w:eastAsia="zh-CN"/>
              </w:rPr>
              <w:t>7</w:t>
            </w:r>
            <w:r>
              <w:rPr>
                <w:b/>
                <w:color w:val="auto"/>
                <w:sz w:val="24"/>
              </w:rPr>
              <w:t xml:space="preserve"> </w:t>
            </w:r>
            <w:r>
              <w:rPr>
                <w:color w:val="auto"/>
                <w:sz w:val="24"/>
              </w:rPr>
              <w:t xml:space="preserve"> </w:t>
            </w:r>
            <w:r>
              <w:rPr>
                <w:b/>
                <w:color w:val="auto"/>
                <w:sz w:val="24"/>
              </w:rPr>
              <w:t>运营期噪声排放标准</w:t>
            </w:r>
            <w:r>
              <w:rPr>
                <w:color w:val="auto"/>
                <w:sz w:val="24"/>
              </w:rPr>
              <w:t xml:space="preserve">   </w:t>
            </w:r>
            <w:r>
              <w:rPr>
                <w:color w:val="auto"/>
                <w:sz w:val="18"/>
                <w:szCs w:val="18"/>
              </w:rPr>
              <w:t>等效声级：dB(A)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1582"/>
              <w:gridCol w:w="1641"/>
              <w:gridCol w:w="2389"/>
            </w:tblGrid>
            <w:tr w14:paraId="683D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9" w:type="pct"/>
                  <w:vAlign w:val="center"/>
                </w:tcPr>
                <w:p w14:paraId="4129C513">
                  <w:pPr>
                    <w:ind w:left="420" w:hanging="420" w:hangingChars="200"/>
                    <w:jc w:val="center"/>
                    <w:rPr>
                      <w:color w:val="auto"/>
                      <w:szCs w:val="21"/>
                    </w:rPr>
                  </w:pPr>
                  <w:r>
                    <w:rPr>
                      <w:color w:val="auto"/>
                      <w:szCs w:val="21"/>
                    </w:rPr>
                    <w:t>类  别</w:t>
                  </w:r>
                </w:p>
              </w:tc>
              <w:tc>
                <w:tcPr>
                  <w:tcW w:w="1007" w:type="pct"/>
                  <w:vAlign w:val="center"/>
                </w:tcPr>
                <w:p w14:paraId="476107B2">
                  <w:pPr>
                    <w:ind w:left="420" w:hanging="420" w:hangingChars="200"/>
                    <w:jc w:val="center"/>
                    <w:rPr>
                      <w:color w:val="auto"/>
                      <w:szCs w:val="21"/>
                    </w:rPr>
                  </w:pPr>
                  <w:r>
                    <w:rPr>
                      <w:color w:val="auto"/>
                      <w:szCs w:val="21"/>
                    </w:rPr>
                    <w:t>昼  间</w:t>
                  </w:r>
                </w:p>
              </w:tc>
              <w:tc>
                <w:tcPr>
                  <w:tcW w:w="1044" w:type="pct"/>
                  <w:vAlign w:val="center"/>
                </w:tcPr>
                <w:p w14:paraId="43DA2CF3">
                  <w:pPr>
                    <w:ind w:left="420" w:hanging="420" w:hangingChars="200"/>
                    <w:jc w:val="center"/>
                    <w:rPr>
                      <w:color w:val="auto"/>
                      <w:szCs w:val="21"/>
                    </w:rPr>
                  </w:pPr>
                  <w:r>
                    <w:rPr>
                      <w:color w:val="auto"/>
                      <w:szCs w:val="21"/>
                    </w:rPr>
                    <w:t>夜  间</w:t>
                  </w:r>
                </w:p>
              </w:tc>
              <w:tc>
                <w:tcPr>
                  <w:tcW w:w="1520" w:type="pct"/>
                  <w:vAlign w:val="center"/>
                </w:tcPr>
                <w:p w14:paraId="5D5BBBEA">
                  <w:pPr>
                    <w:ind w:left="420" w:hanging="420" w:hangingChars="200"/>
                    <w:jc w:val="center"/>
                    <w:rPr>
                      <w:color w:val="auto"/>
                      <w:szCs w:val="21"/>
                    </w:rPr>
                  </w:pPr>
                  <w:r>
                    <w:rPr>
                      <w:color w:val="auto"/>
                      <w:szCs w:val="21"/>
                    </w:rPr>
                    <w:t>标准来源</w:t>
                  </w:r>
                </w:p>
              </w:tc>
            </w:tr>
            <w:tr w14:paraId="1336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9" w:type="pct"/>
                  <w:vAlign w:val="center"/>
                </w:tcPr>
                <w:p w14:paraId="7E16CA44">
                  <w:pPr>
                    <w:ind w:left="420" w:hanging="420" w:hangingChars="200"/>
                    <w:jc w:val="center"/>
                    <w:rPr>
                      <w:color w:val="auto"/>
                      <w:szCs w:val="21"/>
                    </w:rPr>
                  </w:pPr>
                  <w:r>
                    <w:rPr>
                      <w:color w:val="auto"/>
                      <w:szCs w:val="21"/>
                    </w:rPr>
                    <w:t>3类</w:t>
                  </w:r>
                </w:p>
              </w:tc>
              <w:tc>
                <w:tcPr>
                  <w:tcW w:w="1007" w:type="pct"/>
                  <w:vAlign w:val="center"/>
                </w:tcPr>
                <w:p w14:paraId="0B5463CD">
                  <w:pPr>
                    <w:ind w:left="420" w:hanging="420" w:hangingChars="200"/>
                    <w:jc w:val="center"/>
                    <w:rPr>
                      <w:color w:val="auto"/>
                      <w:szCs w:val="21"/>
                    </w:rPr>
                  </w:pPr>
                  <w:r>
                    <w:rPr>
                      <w:color w:val="auto"/>
                      <w:szCs w:val="21"/>
                    </w:rPr>
                    <w:t>65</w:t>
                  </w:r>
                </w:p>
              </w:tc>
              <w:tc>
                <w:tcPr>
                  <w:tcW w:w="1044" w:type="pct"/>
                  <w:vAlign w:val="center"/>
                </w:tcPr>
                <w:p w14:paraId="4FE0740C">
                  <w:pPr>
                    <w:ind w:left="420" w:hanging="420" w:hangingChars="200"/>
                    <w:jc w:val="center"/>
                    <w:rPr>
                      <w:color w:val="auto"/>
                      <w:szCs w:val="21"/>
                    </w:rPr>
                  </w:pPr>
                  <w:r>
                    <w:rPr>
                      <w:color w:val="auto"/>
                      <w:szCs w:val="21"/>
                    </w:rPr>
                    <w:t>55</w:t>
                  </w:r>
                </w:p>
              </w:tc>
              <w:tc>
                <w:tcPr>
                  <w:tcW w:w="1520" w:type="pct"/>
                  <w:vAlign w:val="center"/>
                </w:tcPr>
                <w:p w14:paraId="04D31541">
                  <w:pPr>
                    <w:ind w:left="420" w:hanging="420" w:hangingChars="200"/>
                    <w:jc w:val="center"/>
                    <w:rPr>
                      <w:color w:val="auto"/>
                      <w:szCs w:val="21"/>
                    </w:rPr>
                  </w:pPr>
                  <w:r>
                    <w:rPr>
                      <w:color w:val="auto"/>
                      <w:kern w:val="24"/>
                      <w:szCs w:val="21"/>
                    </w:rPr>
                    <w:t>GB12348-2008</w:t>
                  </w:r>
                </w:p>
              </w:tc>
            </w:tr>
          </w:tbl>
          <w:p w14:paraId="722EC113">
            <w:pPr>
              <w:spacing w:line="400" w:lineRule="exact"/>
              <w:ind w:firstLine="482"/>
              <w:jc w:val="both"/>
              <w:rPr>
                <w:b/>
                <w:bCs/>
                <w:color w:val="auto"/>
                <w:sz w:val="24"/>
              </w:rPr>
            </w:pPr>
            <w:r>
              <w:rPr>
                <w:rFonts w:hint="eastAsia"/>
                <w:b/>
                <w:bCs/>
                <w:color w:val="auto"/>
                <w:sz w:val="24"/>
                <w:lang w:val="en-US" w:eastAsia="zh-CN"/>
              </w:rPr>
              <w:t>4</w:t>
            </w:r>
            <w:r>
              <w:rPr>
                <w:rFonts w:hint="eastAsia"/>
                <w:b/>
                <w:bCs/>
                <w:color w:val="auto"/>
                <w:sz w:val="24"/>
              </w:rPr>
              <w:t>、固废</w:t>
            </w:r>
          </w:p>
          <w:p w14:paraId="4D823FA5">
            <w:pPr>
              <w:spacing w:line="540" w:lineRule="exact"/>
              <w:ind w:firstLine="480" w:firstLineChars="200"/>
              <w:rPr>
                <w:rFonts w:hint="eastAsia"/>
                <w:color w:val="auto"/>
                <w:sz w:val="24"/>
                <w:lang w:eastAsia="zh-CN"/>
              </w:rPr>
            </w:pPr>
            <w:r>
              <w:rPr>
                <w:rFonts w:hint="eastAsia"/>
                <w:color w:val="auto"/>
                <w:sz w:val="24"/>
              </w:rPr>
              <w:t>一</w:t>
            </w:r>
            <w:r>
              <w:rPr>
                <w:color w:val="auto"/>
                <w:sz w:val="24"/>
              </w:rPr>
              <w:t>般工业固体废物</w:t>
            </w:r>
            <w:r>
              <w:rPr>
                <w:rFonts w:hint="eastAsia"/>
                <w:color w:val="auto"/>
                <w:sz w:val="24"/>
              </w:rPr>
              <w:t>执</w:t>
            </w:r>
            <w:r>
              <w:rPr>
                <w:color w:val="auto"/>
                <w:sz w:val="24"/>
              </w:rPr>
              <w:t>行</w:t>
            </w:r>
            <w:r>
              <w:rPr>
                <w:rFonts w:hint="eastAsia"/>
                <w:color w:val="auto"/>
                <w:sz w:val="24"/>
              </w:rPr>
              <w:t>《安徽省实施〈中华人民共和国固体废物污染环境防治法〉办法》</w:t>
            </w:r>
            <w:r>
              <w:rPr>
                <w:color w:val="auto"/>
                <w:sz w:val="24"/>
              </w:rPr>
              <w:t>。危险固废执行《危险废物贮存污染控制污染控制标准》（GB18597-2001）及其2013年修改单要求</w:t>
            </w:r>
            <w:r>
              <w:rPr>
                <w:rFonts w:hint="eastAsia"/>
                <w:color w:val="auto"/>
                <w:sz w:val="24"/>
                <w:lang w:eastAsia="zh-CN"/>
              </w:rPr>
              <w:t>。</w:t>
            </w:r>
          </w:p>
          <w:p w14:paraId="13D555FD">
            <w:pPr>
              <w:spacing w:line="540" w:lineRule="exact"/>
              <w:ind w:firstLine="480" w:firstLineChars="200"/>
              <w:rPr>
                <w:rFonts w:hint="eastAsia"/>
                <w:color w:val="auto"/>
                <w:sz w:val="24"/>
                <w:lang w:eastAsia="zh-CN"/>
              </w:rPr>
            </w:pPr>
          </w:p>
          <w:p w14:paraId="48A4DBD6">
            <w:pPr>
              <w:spacing w:line="540" w:lineRule="exact"/>
              <w:ind w:firstLine="480" w:firstLineChars="200"/>
              <w:rPr>
                <w:rFonts w:hint="eastAsia"/>
                <w:color w:val="auto"/>
                <w:sz w:val="24"/>
                <w:lang w:eastAsia="zh-CN"/>
              </w:rPr>
            </w:pPr>
          </w:p>
          <w:p w14:paraId="424425F8">
            <w:pPr>
              <w:spacing w:line="540" w:lineRule="exact"/>
              <w:ind w:firstLine="480" w:firstLineChars="200"/>
              <w:rPr>
                <w:rFonts w:hint="eastAsia"/>
                <w:color w:val="auto"/>
                <w:sz w:val="24"/>
                <w:lang w:eastAsia="zh-CN"/>
              </w:rPr>
            </w:pPr>
          </w:p>
          <w:p w14:paraId="4B1C2D7D">
            <w:pPr>
              <w:spacing w:line="540" w:lineRule="exact"/>
              <w:ind w:firstLine="480" w:firstLineChars="200"/>
              <w:rPr>
                <w:rFonts w:hint="eastAsia"/>
                <w:color w:val="auto"/>
                <w:sz w:val="24"/>
                <w:lang w:eastAsia="zh-CN"/>
              </w:rPr>
            </w:pPr>
          </w:p>
          <w:p w14:paraId="52072B05">
            <w:pPr>
              <w:spacing w:line="540" w:lineRule="exact"/>
              <w:ind w:firstLine="480" w:firstLineChars="200"/>
              <w:rPr>
                <w:rFonts w:hint="eastAsia"/>
                <w:color w:val="auto"/>
                <w:sz w:val="24"/>
                <w:lang w:eastAsia="zh-CN"/>
              </w:rPr>
            </w:pPr>
          </w:p>
          <w:p w14:paraId="20605CB7">
            <w:pPr>
              <w:spacing w:line="540" w:lineRule="exact"/>
              <w:ind w:firstLine="480" w:firstLineChars="200"/>
              <w:rPr>
                <w:rFonts w:hint="eastAsia"/>
                <w:color w:val="auto"/>
                <w:sz w:val="24"/>
                <w:lang w:eastAsia="zh-CN"/>
              </w:rPr>
            </w:pPr>
          </w:p>
          <w:p w14:paraId="7B998725">
            <w:pPr>
              <w:spacing w:line="540" w:lineRule="exact"/>
              <w:ind w:firstLine="480" w:firstLineChars="200"/>
              <w:rPr>
                <w:rFonts w:hint="eastAsia"/>
                <w:color w:val="auto"/>
                <w:sz w:val="24"/>
                <w:lang w:eastAsia="zh-CN"/>
              </w:rPr>
            </w:pPr>
          </w:p>
          <w:p w14:paraId="7F57B556">
            <w:pPr>
              <w:spacing w:line="540" w:lineRule="exact"/>
              <w:ind w:firstLine="480" w:firstLineChars="200"/>
              <w:rPr>
                <w:rFonts w:hint="eastAsia"/>
                <w:color w:val="auto"/>
                <w:sz w:val="24"/>
                <w:lang w:eastAsia="zh-CN"/>
              </w:rPr>
            </w:pPr>
          </w:p>
          <w:p w14:paraId="562664C6">
            <w:pPr>
              <w:spacing w:line="540" w:lineRule="exact"/>
              <w:ind w:firstLine="480" w:firstLineChars="200"/>
              <w:rPr>
                <w:rFonts w:hint="eastAsia"/>
                <w:color w:val="auto"/>
                <w:sz w:val="24"/>
                <w:lang w:eastAsia="zh-CN"/>
              </w:rPr>
            </w:pPr>
          </w:p>
          <w:p w14:paraId="0EC8FAE0">
            <w:pPr>
              <w:spacing w:line="540" w:lineRule="exact"/>
              <w:ind w:firstLine="480" w:firstLineChars="200"/>
              <w:rPr>
                <w:color w:val="auto"/>
                <w:sz w:val="24"/>
              </w:rPr>
            </w:pPr>
          </w:p>
        </w:tc>
      </w:tr>
      <w:tr w14:paraId="59195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82" w:hRule="atLeast"/>
          <w:jc w:val="center"/>
        </w:trPr>
        <w:tc>
          <w:tcPr>
            <w:tcW w:w="456" w:type="dxa"/>
            <w:vAlign w:val="center"/>
          </w:tcPr>
          <w:p w14:paraId="6D04CD42">
            <w:pPr>
              <w:adjustRightInd w:val="0"/>
              <w:snapToGrid w:val="0"/>
              <w:jc w:val="center"/>
              <w:rPr>
                <w:rFonts w:ascii="宋体" w:hAnsi="宋体" w:cs="宋体"/>
                <w:color w:val="auto"/>
                <w:kern w:val="0"/>
                <w:sz w:val="24"/>
              </w:rPr>
            </w:pPr>
            <w:r>
              <w:rPr>
                <w:rFonts w:hint="eastAsia" w:ascii="宋体" w:hAnsi="宋体" w:cs="宋体"/>
                <w:color w:val="auto"/>
                <w:kern w:val="0"/>
                <w:sz w:val="24"/>
              </w:rPr>
              <w:t>总量控制指标</w:t>
            </w:r>
          </w:p>
        </w:tc>
        <w:tc>
          <w:tcPr>
            <w:tcW w:w="7882" w:type="dxa"/>
            <w:vAlign w:val="center"/>
          </w:tcPr>
          <w:p w14:paraId="2534435A">
            <w:pPr>
              <w:spacing w:line="500" w:lineRule="exact"/>
              <w:ind w:firstLine="480" w:firstLineChars="200"/>
              <w:rPr>
                <w:rFonts w:hint="eastAsia"/>
                <w:snapToGrid w:val="0"/>
                <w:color w:val="auto"/>
                <w:kern w:val="28"/>
                <w:sz w:val="24"/>
              </w:rPr>
            </w:pPr>
            <w:r>
              <w:rPr>
                <w:rFonts w:hint="eastAsia"/>
                <w:snapToGrid w:val="0"/>
                <w:color w:val="auto"/>
                <w:kern w:val="28"/>
                <w:sz w:val="24"/>
              </w:rPr>
              <w:t>根据《国务院关于印发&lt;“十四五”节能减排综合工作方案&gt;的通知》（国发[2021]33号），目前国家对化学需氧量COD、氨氮NH3-N、氮氧化物NOx、VOCs（以非甲烷总烃计）等四种主要污染物纳入排放总量控制计划管理。</w:t>
            </w:r>
          </w:p>
          <w:p w14:paraId="09A8F5EC">
            <w:pPr>
              <w:spacing w:line="500" w:lineRule="exact"/>
              <w:ind w:firstLine="480" w:firstLineChars="200"/>
              <w:rPr>
                <w:rFonts w:hint="eastAsia"/>
                <w:snapToGrid w:val="0"/>
                <w:color w:val="auto"/>
                <w:kern w:val="28"/>
                <w:sz w:val="24"/>
              </w:rPr>
            </w:pPr>
            <w:r>
              <w:rPr>
                <w:rFonts w:hint="eastAsia"/>
                <w:snapToGrid w:val="0"/>
                <w:color w:val="auto"/>
                <w:kern w:val="28"/>
                <w:sz w:val="24"/>
              </w:rPr>
              <w:t>根据本工程的具体情况，结合国家污染物排放总量控制原则，列出本工程需执行的总量控制指标：</w:t>
            </w:r>
          </w:p>
          <w:p w14:paraId="4BD4CB80">
            <w:pPr>
              <w:spacing w:line="500" w:lineRule="exact"/>
              <w:ind w:firstLine="480" w:firstLineChars="200"/>
              <w:rPr>
                <w:rFonts w:hint="default" w:eastAsia="宋体"/>
                <w:lang w:val="en-US" w:eastAsia="zh-CN"/>
              </w:rPr>
            </w:pPr>
            <w:r>
              <w:rPr>
                <w:rFonts w:hint="eastAsia"/>
                <w:snapToGrid w:val="0"/>
                <w:color w:val="auto"/>
                <w:kern w:val="28"/>
                <w:sz w:val="24"/>
              </w:rPr>
              <w:t>废气：粉尘通过布袋除尘器处理，需申请的颗粒物排放总量为：</w:t>
            </w:r>
            <w:r>
              <w:rPr>
                <w:rFonts w:hint="eastAsia"/>
                <w:color w:val="auto"/>
                <w:szCs w:val="21"/>
                <w:highlight w:val="none"/>
                <w:lang w:val="en-US" w:eastAsia="zh-CN"/>
              </w:rPr>
              <w:t>0.310725</w:t>
            </w:r>
            <w:r>
              <w:rPr>
                <w:rFonts w:hint="eastAsia"/>
                <w:snapToGrid w:val="0"/>
                <w:color w:val="auto"/>
                <w:kern w:val="28"/>
                <w:sz w:val="24"/>
                <w:lang w:val="en-US" w:eastAsia="zh-CN"/>
              </w:rPr>
              <w:t>t</w:t>
            </w:r>
            <w:r>
              <w:rPr>
                <w:rFonts w:hint="eastAsia"/>
                <w:snapToGrid w:val="0"/>
                <w:color w:val="auto"/>
                <w:kern w:val="28"/>
                <w:sz w:val="24"/>
              </w:rPr>
              <w:t>/a。</w:t>
            </w:r>
            <w:r>
              <w:rPr>
                <w:rFonts w:hint="eastAsia"/>
                <w:lang w:val="en-US" w:eastAsia="zh-CN"/>
              </w:rPr>
              <w:t>详见表4-5</w:t>
            </w:r>
          </w:p>
          <w:p w14:paraId="41064B83">
            <w:pPr>
              <w:pStyle w:val="5"/>
              <w:jc w:val="center"/>
              <w:rPr>
                <w:rFonts w:hint="eastAsia"/>
              </w:rPr>
            </w:pPr>
            <w:r>
              <w:rPr>
                <w:rFonts w:hint="eastAsia"/>
                <w:b/>
                <w:snapToGrid w:val="0"/>
                <w:color w:val="auto"/>
                <w:kern w:val="0"/>
                <w:sz w:val="24"/>
              </w:rPr>
              <w:t>表</w:t>
            </w:r>
            <w:r>
              <w:rPr>
                <w:b/>
                <w:snapToGrid w:val="0"/>
                <w:color w:val="auto"/>
                <w:kern w:val="0"/>
                <w:sz w:val="24"/>
              </w:rPr>
              <w:t xml:space="preserve">4-5 </w:t>
            </w:r>
            <w:r>
              <w:rPr>
                <w:rFonts w:hint="eastAsia"/>
                <w:b/>
                <w:snapToGrid w:val="0"/>
                <w:color w:val="auto"/>
                <w:kern w:val="0"/>
                <w:sz w:val="24"/>
              </w:rPr>
              <w:t>大气污染物年排放量核算表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3847"/>
              <w:gridCol w:w="1856"/>
            </w:tblGrid>
            <w:tr w14:paraId="44AB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pct"/>
                  <w:tcBorders>
                    <w:top w:val="single" w:color="auto" w:sz="4" w:space="0"/>
                    <w:left w:val="single" w:color="auto" w:sz="4" w:space="0"/>
                    <w:bottom w:val="single" w:color="auto" w:sz="4" w:space="0"/>
                    <w:right w:val="single" w:color="auto" w:sz="4" w:space="0"/>
                  </w:tcBorders>
                  <w:noWrap w:val="0"/>
                  <w:vAlign w:val="top"/>
                </w:tcPr>
                <w:p w14:paraId="2F2025CC">
                  <w:pPr>
                    <w:jc w:val="center"/>
                    <w:rPr>
                      <w:snapToGrid w:val="0"/>
                      <w:color w:val="auto"/>
                      <w:kern w:val="28"/>
                    </w:rPr>
                  </w:pPr>
                  <w:r>
                    <w:rPr>
                      <w:rFonts w:hint="eastAsia"/>
                      <w:snapToGrid w:val="0"/>
                      <w:color w:val="auto"/>
                      <w:kern w:val="28"/>
                    </w:rPr>
                    <w:t>序号</w:t>
                  </w:r>
                </w:p>
              </w:tc>
              <w:tc>
                <w:tcPr>
                  <w:tcW w:w="2446" w:type="pct"/>
                  <w:tcBorders>
                    <w:top w:val="single" w:color="auto" w:sz="4" w:space="0"/>
                    <w:left w:val="single" w:color="auto" w:sz="4" w:space="0"/>
                    <w:bottom w:val="single" w:color="auto" w:sz="4" w:space="0"/>
                    <w:right w:val="single" w:color="auto" w:sz="4" w:space="0"/>
                  </w:tcBorders>
                  <w:noWrap w:val="0"/>
                  <w:vAlign w:val="top"/>
                </w:tcPr>
                <w:p w14:paraId="5F10D97A">
                  <w:pPr>
                    <w:jc w:val="center"/>
                    <w:rPr>
                      <w:snapToGrid w:val="0"/>
                      <w:color w:val="auto"/>
                      <w:kern w:val="28"/>
                    </w:rPr>
                  </w:pPr>
                  <w:r>
                    <w:rPr>
                      <w:rFonts w:hint="eastAsia"/>
                      <w:snapToGrid w:val="0"/>
                      <w:color w:val="auto"/>
                      <w:kern w:val="28"/>
                    </w:rPr>
                    <w:t>污染物</w:t>
                  </w:r>
                </w:p>
              </w:tc>
              <w:tc>
                <w:tcPr>
                  <w:tcW w:w="1180" w:type="pct"/>
                  <w:tcBorders>
                    <w:top w:val="single" w:color="auto" w:sz="4" w:space="0"/>
                    <w:left w:val="single" w:color="auto" w:sz="4" w:space="0"/>
                    <w:bottom w:val="single" w:color="auto" w:sz="4" w:space="0"/>
                    <w:right w:val="single" w:color="auto" w:sz="4" w:space="0"/>
                  </w:tcBorders>
                  <w:noWrap w:val="0"/>
                  <w:vAlign w:val="top"/>
                </w:tcPr>
                <w:p w14:paraId="61B5878A">
                  <w:pPr>
                    <w:jc w:val="center"/>
                    <w:rPr>
                      <w:b w:val="0"/>
                      <w:bCs w:val="0"/>
                      <w:snapToGrid w:val="0"/>
                      <w:color w:val="auto"/>
                      <w:kern w:val="28"/>
                      <w:highlight w:val="none"/>
                    </w:rPr>
                  </w:pPr>
                  <w:r>
                    <w:rPr>
                      <w:rFonts w:hint="eastAsia"/>
                      <w:b w:val="0"/>
                      <w:bCs w:val="0"/>
                      <w:snapToGrid w:val="0"/>
                      <w:color w:val="auto"/>
                      <w:kern w:val="28"/>
                      <w:highlight w:val="none"/>
                    </w:rPr>
                    <w:t>年排放量（t/a）</w:t>
                  </w:r>
                </w:p>
              </w:tc>
            </w:tr>
            <w:tr w14:paraId="2A6C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pct"/>
                  <w:tcBorders>
                    <w:top w:val="single" w:color="auto" w:sz="4" w:space="0"/>
                    <w:left w:val="single" w:color="auto" w:sz="4" w:space="0"/>
                    <w:bottom w:val="single" w:color="auto" w:sz="4" w:space="0"/>
                    <w:right w:val="single" w:color="auto" w:sz="4" w:space="0"/>
                  </w:tcBorders>
                  <w:noWrap w:val="0"/>
                  <w:vAlign w:val="top"/>
                </w:tcPr>
                <w:p w14:paraId="3BD0B997">
                  <w:pPr>
                    <w:jc w:val="center"/>
                    <w:rPr>
                      <w:snapToGrid w:val="0"/>
                      <w:color w:val="auto"/>
                      <w:kern w:val="28"/>
                    </w:rPr>
                  </w:pPr>
                  <w:r>
                    <w:rPr>
                      <w:snapToGrid w:val="0"/>
                      <w:color w:val="auto"/>
                      <w:kern w:val="28"/>
                    </w:rPr>
                    <w:t>1</w:t>
                  </w:r>
                </w:p>
              </w:tc>
              <w:tc>
                <w:tcPr>
                  <w:tcW w:w="2446" w:type="pct"/>
                  <w:tcBorders>
                    <w:top w:val="single" w:color="auto" w:sz="4" w:space="0"/>
                    <w:left w:val="single" w:color="auto" w:sz="4" w:space="0"/>
                    <w:bottom w:val="single" w:color="auto" w:sz="4" w:space="0"/>
                    <w:right w:val="single" w:color="auto" w:sz="4" w:space="0"/>
                  </w:tcBorders>
                  <w:noWrap w:val="0"/>
                  <w:vAlign w:val="center"/>
                </w:tcPr>
                <w:p w14:paraId="2DB61DAA">
                  <w:pPr>
                    <w:jc w:val="center"/>
                    <w:rPr>
                      <w:snapToGrid w:val="0"/>
                      <w:color w:val="auto"/>
                      <w:kern w:val="28"/>
                      <w:szCs w:val="21"/>
                    </w:rPr>
                  </w:pPr>
                  <w:r>
                    <w:rPr>
                      <w:rFonts w:hint="eastAsia"/>
                      <w:color w:val="auto"/>
                      <w:kern w:val="24"/>
                      <w:szCs w:val="21"/>
                      <w:lang w:val="en-US" w:eastAsia="zh-CN"/>
                    </w:rPr>
                    <w:t>有组织排放</w:t>
                  </w:r>
                  <w:r>
                    <w:rPr>
                      <w:rFonts w:hint="eastAsia"/>
                      <w:color w:val="auto"/>
                      <w:kern w:val="24"/>
                      <w:szCs w:val="21"/>
                    </w:rPr>
                    <w:t>颗粒物</w:t>
                  </w:r>
                </w:p>
              </w:tc>
              <w:tc>
                <w:tcPr>
                  <w:tcW w:w="1180" w:type="pct"/>
                  <w:tcBorders>
                    <w:top w:val="single" w:color="auto" w:sz="4" w:space="0"/>
                    <w:left w:val="single" w:color="auto" w:sz="4" w:space="0"/>
                    <w:bottom w:val="single" w:color="auto" w:sz="4" w:space="0"/>
                    <w:right w:val="single" w:color="auto" w:sz="4" w:space="0"/>
                  </w:tcBorders>
                  <w:noWrap w:val="0"/>
                  <w:vAlign w:val="center"/>
                </w:tcPr>
                <w:p w14:paraId="271B3553">
                  <w:pPr>
                    <w:widowControl/>
                    <w:jc w:val="center"/>
                    <w:rPr>
                      <w:rFonts w:hint="default" w:eastAsia="宋体"/>
                      <w:b w:val="0"/>
                      <w:bCs w:val="0"/>
                      <w:color w:val="auto"/>
                      <w:kern w:val="0"/>
                      <w:szCs w:val="21"/>
                      <w:highlight w:val="none"/>
                      <w:lang w:val="en-US" w:eastAsia="zh-CN"/>
                    </w:rPr>
                  </w:pPr>
                  <w:r>
                    <w:rPr>
                      <w:rFonts w:hint="eastAsia"/>
                      <w:b w:val="0"/>
                      <w:bCs w:val="0"/>
                      <w:color w:val="auto"/>
                      <w:szCs w:val="21"/>
                      <w:highlight w:val="none"/>
                      <w:lang w:val="en-US" w:eastAsia="zh-CN"/>
                    </w:rPr>
                    <w:t>0.009225</w:t>
                  </w:r>
                </w:p>
              </w:tc>
            </w:tr>
            <w:tr w14:paraId="4D19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pct"/>
                  <w:tcBorders>
                    <w:top w:val="single" w:color="auto" w:sz="4" w:space="0"/>
                    <w:left w:val="single" w:color="auto" w:sz="4" w:space="0"/>
                    <w:bottom w:val="single" w:color="auto" w:sz="4" w:space="0"/>
                    <w:right w:val="single" w:color="auto" w:sz="4" w:space="0"/>
                  </w:tcBorders>
                  <w:noWrap w:val="0"/>
                  <w:vAlign w:val="top"/>
                </w:tcPr>
                <w:p w14:paraId="1ED65B73">
                  <w:pPr>
                    <w:jc w:val="center"/>
                    <w:rPr>
                      <w:rFonts w:hint="eastAsia" w:eastAsia="宋体"/>
                      <w:snapToGrid w:val="0"/>
                      <w:color w:val="auto"/>
                      <w:kern w:val="28"/>
                      <w:lang w:val="en-US" w:eastAsia="zh-CN"/>
                    </w:rPr>
                  </w:pPr>
                  <w:r>
                    <w:rPr>
                      <w:rFonts w:hint="eastAsia"/>
                      <w:snapToGrid w:val="0"/>
                      <w:color w:val="auto"/>
                      <w:kern w:val="28"/>
                      <w:lang w:val="en-US" w:eastAsia="zh-CN"/>
                    </w:rPr>
                    <w:t>2</w:t>
                  </w:r>
                </w:p>
              </w:tc>
              <w:tc>
                <w:tcPr>
                  <w:tcW w:w="2446" w:type="pct"/>
                  <w:tcBorders>
                    <w:top w:val="single" w:color="auto" w:sz="4" w:space="0"/>
                    <w:left w:val="single" w:color="auto" w:sz="4" w:space="0"/>
                    <w:bottom w:val="single" w:color="auto" w:sz="4" w:space="0"/>
                    <w:right w:val="single" w:color="auto" w:sz="4" w:space="0"/>
                  </w:tcBorders>
                  <w:noWrap w:val="0"/>
                  <w:vAlign w:val="center"/>
                </w:tcPr>
                <w:p w14:paraId="6E738997">
                  <w:pPr>
                    <w:jc w:val="center"/>
                    <w:rPr>
                      <w:rFonts w:hint="default" w:eastAsia="宋体"/>
                      <w:color w:val="auto"/>
                      <w:kern w:val="24"/>
                      <w:szCs w:val="21"/>
                      <w:lang w:val="en-US" w:eastAsia="zh-CN"/>
                    </w:rPr>
                  </w:pPr>
                  <w:r>
                    <w:rPr>
                      <w:rFonts w:hint="eastAsia"/>
                      <w:color w:val="auto"/>
                      <w:kern w:val="24"/>
                      <w:szCs w:val="21"/>
                      <w:lang w:val="en-US" w:eastAsia="zh-CN"/>
                    </w:rPr>
                    <w:t>无组织排放颗粒物</w:t>
                  </w:r>
                </w:p>
              </w:tc>
              <w:tc>
                <w:tcPr>
                  <w:tcW w:w="1180" w:type="pct"/>
                  <w:tcBorders>
                    <w:top w:val="single" w:color="auto" w:sz="4" w:space="0"/>
                    <w:left w:val="single" w:color="auto" w:sz="4" w:space="0"/>
                    <w:bottom w:val="single" w:color="auto" w:sz="4" w:space="0"/>
                    <w:right w:val="single" w:color="auto" w:sz="4" w:space="0"/>
                  </w:tcBorders>
                  <w:noWrap w:val="0"/>
                  <w:vAlign w:val="center"/>
                </w:tcPr>
                <w:p w14:paraId="06F116F9">
                  <w:pPr>
                    <w:widowControl/>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0.3015</w:t>
                  </w:r>
                </w:p>
              </w:tc>
            </w:tr>
            <w:tr w14:paraId="702E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pct"/>
                  <w:tcBorders>
                    <w:top w:val="single" w:color="auto" w:sz="4" w:space="0"/>
                    <w:left w:val="single" w:color="auto" w:sz="4" w:space="0"/>
                    <w:bottom w:val="single" w:color="auto" w:sz="4" w:space="0"/>
                    <w:right w:val="single" w:color="auto" w:sz="4" w:space="0"/>
                  </w:tcBorders>
                  <w:noWrap w:val="0"/>
                  <w:vAlign w:val="top"/>
                </w:tcPr>
                <w:p w14:paraId="23D25201">
                  <w:pPr>
                    <w:jc w:val="center"/>
                    <w:rPr>
                      <w:rFonts w:hint="default"/>
                      <w:snapToGrid w:val="0"/>
                      <w:color w:val="auto"/>
                      <w:kern w:val="28"/>
                      <w:lang w:val="en-US" w:eastAsia="zh-CN"/>
                    </w:rPr>
                  </w:pPr>
                  <w:r>
                    <w:rPr>
                      <w:rFonts w:hint="eastAsia"/>
                      <w:snapToGrid w:val="0"/>
                      <w:color w:val="auto"/>
                      <w:kern w:val="28"/>
                      <w:lang w:val="en-US" w:eastAsia="zh-CN"/>
                    </w:rPr>
                    <w:t>总排放量</w:t>
                  </w:r>
                </w:p>
              </w:tc>
              <w:tc>
                <w:tcPr>
                  <w:tcW w:w="2446" w:type="pct"/>
                  <w:tcBorders>
                    <w:top w:val="single" w:color="auto" w:sz="4" w:space="0"/>
                    <w:left w:val="single" w:color="auto" w:sz="4" w:space="0"/>
                    <w:bottom w:val="single" w:color="auto" w:sz="4" w:space="0"/>
                    <w:right w:val="single" w:color="auto" w:sz="4" w:space="0"/>
                  </w:tcBorders>
                  <w:noWrap w:val="0"/>
                  <w:vAlign w:val="center"/>
                </w:tcPr>
                <w:p w14:paraId="6B927046">
                  <w:pPr>
                    <w:jc w:val="center"/>
                    <w:rPr>
                      <w:rFonts w:hint="default"/>
                      <w:color w:val="auto"/>
                      <w:kern w:val="24"/>
                      <w:szCs w:val="21"/>
                      <w:lang w:val="en-US" w:eastAsia="zh-CN"/>
                    </w:rPr>
                  </w:pPr>
                  <w:r>
                    <w:rPr>
                      <w:rFonts w:hint="eastAsia"/>
                      <w:color w:val="auto"/>
                      <w:kern w:val="24"/>
                      <w:szCs w:val="21"/>
                      <w:lang w:val="en-US" w:eastAsia="zh-CN"/>
                    </w:rPr>
                    <w:t>颗粒物</w:t>
                  </w:r>
                </w:p>
              </w:tc>
              <w:tc>
                <w:tcPr>
                  <w:tcW w:w="1180" w:type="pct"/>
                  <w:tcBorders>
                    <w:top w:val="single" w:color="auto" w:sz="4" w:space="0"/>
                    <w:left w:val="single" w:color="auto" w:sz="4" w:space="0"/>
                    <w:bottom w:val="single" w:color="auto" w:sz="4" w:space="0"/>
                    <w:right w:val="single" w:color="auto" w:sz="4" w:space="0"/>
                  </w:tcBorders>
                  <w:noWrap w:val="0"/>
                  <w:vAlign w:val="center"/>
                </w:tcPr>
                <w:p w14:paraId="57580199">
                  <w:pPr>
                    <w:widowControl/>
                    <w:jc w:val="center"/>
                    <w:rPr>
                      <w:rFonts w:hint="default"/>
                      <w:b w:val="0"/>
                      <w:bCs w:val="0"/>
                      <w:color w:val="auto"/>
                      <w:szCs w:val="21"/>
                      <w:highlight w:val="none"/>
                      <w:lang w:val="en-US" w:eastAsia="zh-CN"/>
                    </w:rPr>
                  </w:pPr>
                  <w:r>
                    <w:rPr>
                      <w:rFonts w:hint="eastAsia"/>
                      <w:b w:val="0"/>
                      <w:bCs w:val="0"/>
                      <w:color w:val="auto"/>
                      <w:szCs w:val="21"/>
                      <w:highlight w:val="none"/>
                      <w:lang w:val="en-US" w:eastAsia="zh-CN"/>
                    </w:rPr>
                    <w:t>0.311</w:t>
                  </w:r>
                </w:p>
              </w:tc>
            </w:tr>
          </w:tbl>
          <w:p w14:paraId="58CA5472">
            <w:pPr>
              <w:spacing w:line="500" w:lineRule="exact"/>
              <w:ind w:firstLine="480" w:firstLineChars="200"/>
              <w:rPr>
                <w:rFonts w:hint="eastAsia"/>
                <w:snapToGrid w:val="0"/>
                <w:color w:val="auto"/>
                <w:kern w:val="28"/>
                <w:sz w:val="24"/>
              </w:rPr>
            </w:pPr>
          </w:p>
          <w:p w14:paraId="176F3753">
            <w:pPr>
              <w:spacing w:line="500" w:lineRule="exact"/>
              <w:ind w:firstLine="480" w:firstLineChars="200"/>
              <w:rPr>
                <w:color w:val="auto"/>
                <w:kern w:val="28"/>
                <w:sz w:val="24"/>
              </w:rPr>
            </w:pPr>
            <w:r>
              <w:rPr>
                <w:rFonts w:hint="eastAsia"/>
                <w:snapToGrid w:val="0"/>
                <w:color w:val="auto"/>
                <w:kern w:val="28"/>
                <w:sz w:val="24"/>
              </w:rPr>
              <w:t>废水：项目生活污水通过化粪池预处理后接入市政管网，通过市政管网接入蚌埠市第二污水处理厂，总量纳入污水处理厂总量范围内，无需单独申请总量。</w:t>
            </w:r>
          </w:p>
        </w:tc>
      </w:tr>
    </w:tbl>
    <w:p w14:paraId="63B728A4">
      <w:pPr>
        <w:rPr>
          <w:rFonts w:ascii="黑体" w:hAnsi="黑体" w:eastAsia="黑体"/>
          <w:snapToGrid w:val="0"/>
          <w:color w:val="auto"/>
          <w:sz w:val="36"/>
          <w:szCs w:val="36"/>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p w14:paraId="23F08F87">
      <w:pPr>
        <w:widowControl/>
        <w:ind w:left="-424" w:leftChars="-202"/>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四、主要环境影响和保护措施</w:t>
      </w:r>
    </w:p>
    <w:tbl>
      <w:tblPr>
        <w:tblStyle w:val="26"/>
        <w:tblW w:w="99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6"/>
        <w:gridCol w:w="9695"/>
      </w:tblGrid>
      <w:tr w14:paraId="2A60F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93" w:hRule="atLeast"/>
          <w:jc w:val="center"/>
        </w:trPr>
        <w:tc>
          <w:tcPr>
            <w:tcW w:w="296" w:type="dxa"/>
            <w:tcMar>
              <w:left w:w="28" w:type="dxa"/>
              <w:right w:w="28" w:type="dxa"/>
            </w:tcMar>
            <w:vAlign w:val="center"/>
          </w:tcPr>
          <w:p w14:paraId="4F955C6B">
            <w:pPr>
              <w:widowControl/>
              <w:adjustRightInd w:val="0"/>
              <w:snapToGrid w:val="0"/>
              <w:jc w:val="center"/>
              <w:rPr>
                <w:rFonts w:ascii="宋体" w:hAnsi="宋体" w:cs="宋体"/>
                <w:color w:val="auto"/>
                <w:sz w:val="24"/>
              </w:rPr>
            </w:pPr>
            <w:r>
              <w:rPr>
                <w:rFonts w:hint="eastAsia" w:ascii="宋体" w:hAnsi="宋体" w:cs="宋体"/>
                <w:color w:val="auto"/>
                <w:sz w:val="24"/>
              </w:rPr>
              <w:t>施工</w:t>
            </w:r>
          </w:p>
          <w:p w14:paraId="050A361F">
            <w:pPr>
              <w:widowControl/>
              <w:adjustRightInd w:val="0"/>
              <w:snapToGrid w:val="0"/>
              <w:jc w:val="center"/>
              <w:rPr>
                <w:rFonts w:ascii="宋体" w:hAnsi="宋体" w:cs="宋体"/>
                <w:color w:val="auto"/>
                <w:sz w:val="24"/>
              </w:rPr>
            </w:pPr>
            <w:r>
              <w:rPr>
                <w:rFonts w:hint="eastAsia" w:ascii="宋体" w:hAnsi="宋体" w:cs="宋体"/>
                <w:color w:val="auto"/>
                <w:sz w:val="24"/>
              </w:rPr>
              <w:t>期环</w:t>
            </w:r>
          </w:p>
          <w:p w14:paraId="63887442">
            <w:pPr>
              <w:widowControl/>
              <w:adjustRightInd w:val="0"/>
              <w:snapToGrid w:val="0"/>
              <w:jc w:val="center"/>
              <w:rPr>
                <w:rFonts w:ascii="宋体" w:hAnsi="宋体" w:cs="宋体"/>
                <w:color w:val="auto"/>
                <w:sz w:val="24"/>
              </w:rPr>
            </w:pPr>
            <w:r>
              <w:rPr>
                <w:rFonts w:hint="eastAsia" w:ascii="宋体" w:hAnsi="宋体" w:cs="宋体"/>
                <w:color w:val="auto"/>
                <w:sz w:val="24"/>
              </w:rPr>
              <w:t>境保</w:t>
            </w:r>
          </w:p>
          <w:p w14:paraId="6BB4C200">
            <w:pPr>
              <w:widowControl/>
              <w:adjustRightInd w:val="0"/>
              <w:snapToGrid w:val="0"/>
              <w:jc w:val="center"/>
              <w:rPr>
                <w:rFonts w:ascii="宋体" w:hAnsi="宋体" w:cs="宋体"/>
                <w:color w:val="auto"/>
                <w:sz w:val="24"/>
              </w:rPr>
            </w:pPr>
            <w:r>
              <w:rPr>
                <w:rFonts w:hint="eastAsia" w:ascii="宋体" w:hAnsi="宋体" w:cs="宋体"/>
                <w:color w:val="auto"/>
                <w:sz w:val="24"/>
              </w:rPr>
              <w:t>护措</w:t>
            </w:r>
          </w:p>
          <w:p w14:paraId="7DA28445">
            <w:pPr>
              <w:widowControl/>
              <w:adjustRightInd w:val="0"/>
              <w:snapToGrid w:val="0"/>
              <w:jc w:val="center"/>
              <w:rPr>
                <w:rFonts w:ascii="宋体" w:hAnsi="宋体" w:cs="宋体"/>
                <w:bCs/>
                <w:color w:val="auto"/>
                <w:sz w:val="24"/>
              </w:rPr>
            </w:pPr>
            <w:r>
              <w:rPr>
                <w:rFonts w:hint="eastAsia" w:ascii="宋体" w:hAnsi="宋体" w:cs="宋体"/>
                <w:color w:val="auto"/>
                <w:sz w:val="24"/>
              </w:rPr>
              <w:t>施</w:t>
            </w:r>
          </w:p>
        </w:tc>
        <w:tc>
          <w:tcPr>
            <w:tcW w:w="9695" w:type="dxa"/>
            <w:vAlign w:val="center"/>
          </w:tcPr>
          <w:p w14:paraId="205589D1">
            <w:pPr>
              <w:spacing w:line="500" w:lineRule="exact"/>
              <w:ind w:right="-90" w:rightChars="-43" w:firstLine="480" w:firstLineChars="200"/>
              <w:rPr>
                <w:color w:val="auto"/>
              </w:rPr>
            </w:pPr>
            <w:r>
              <w:rPr>
                <w:rFonts w:hint="eastAsia"/>
                <w:snapToGrid w:val="0"/>
                <w:color w:val="auto"/>
                <w:kern w:val="0"/>
                <w:sz w:val="24"/>
              </w:rPr>
              <w:t>本项目利用已建成的厂房进行设备安装。项目施工期工程内容主要是设备安装调试。由于工程量较小，施工时间较短。在采取选用低噪声施工设备，加强施工活动管理等措施后，施工期环境影响较小。随着施工活动的结束，施工期环境影响也将逐渐消失。</w:t>
            </w:r>
          </w:p>
        </w:tc>
      </w:tr>
      <w:tr w14:paraId="5B8B39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6" w:hRule="atLeast"/>
          <w:jc w:val="center"/>
        </w:trPr>
        <w:tc>
          <w:tcPr>
            <w:tcW w:w="296" w:type="dxa"/>
            <w:tcMar>
              <w:left w:w="28" w:type="dxa"/>
              <w:right w:w="28" w:type="dxa"/>
            </w:tcMar>
            <w:vAlign w:val="center"/>
          </w:tcPr>
          <w:p w14:paraId="77E016C1">
            <w:pPr>
              <w:adjustRightInd w:val="0"/>
              <w:snapToGrid w:val="0"/>
              <w:jc w:val="center"/>
              <w:rPr>
                <w:rFonts w:ascii="宋体" w:hAnsi="宋体" w:cs="宋体"/>
                <w:bCs/>
                <w:color w:val="auto"/>
                <w:sz w:val="24"/>
              </w:rPr>
            </w:pPr>
            <w:r>
              <w:rPr>
                <w:rFonts w:hint="eastAsia" w:ascii="宋体" w:hAnsi="宋体" w:cs="宋体"/>
                <w:bCs/>
                <w:color w:val="auto"/>
                <w:sz w:val="24"/>
              </w:rPr>
              <w:t>运营</w:t>
            </w:r>
          </w:p>
          <w:p w14:paraId="362AFED3">
            <w:pPr>
              <w:adjustRightInd w:val="0"/>
              <w:snapToGrid w:val="0"/>
              <w:jc w:val="center"/>
              <w:rPr>
                <w:rFonts w:ascii="宋体" w:hAnsi="宋体" w:cs="宋体"/>
                <w:bCs/>
                <w:color w:val="auto"/>
                <w:sz w:val="24"/>
              </w:rPr>
            </w:pPr>
            <w:r>
              <w:rPr>
                <w:rFonts w:hint="eastAsia" w:ascii="宋体" w:hAnsi="宋体" w:cs="宋体"/>
                <w:bCs/>
                <w:color w:val="auto"/>
                <w:sz w:val="24"/>
              </w:rPr>
              <w:t>期环</w:t>
            </w:r>
          </w:p>
          <w:p w14:paraId="38819612">
            <w:pPr>
              <w:adjustRightInd w:val="0"/>
              <w:snapToGrid w:val="0"/>
              <w:jc w:val="center"/>
              <w:rPr>
                <w:rFonts w:ascii="宋体" w:hAnsi="宋体" w:cs="宋体"/>
                <w:bCs/>
                <w:color w:val="auto"/>
                <w:sz w:val="24"/>
              </w:rPr>
            </w:pPr>
            <w:r>
              <w:rPr>
                <w:rFonts w:hint="eastAsia" w:ascii="宋体" w:hAnsi="宋体" w:cs="宋体"/>
                <w:bCs/>
                <w:color w:val="auto"/>
                <w:sz w:val="24"/>
              </w:rPr>
              <w:t>境影</w:t>
            </w:r>
          </w:p>
          <w:p w14:paraId="1063A6D2">
            <w:pPr>
              <w:adjustRightInd w:val="0"/>
              <w:snapToGrid w:val="0"/>
              <w:jc w:val="center"/>
              <w:rPr>
                <w:rFonts w:ascii="宋体" w:hAnsi="宋体" w:cs="宋体"/>
                <w:bCs/>
                <w:color w:val="auto"/>
                <w:sz w:val="24"/>
              </w:rPr>
            </w:pPr>
            <w:r>
              <w:rPr>
                <w:rFonts w:hint="eastAsia" w:ascii="宋体" w:hAnsi="宋体" w:cs="宋体"/>
                <w:bCs/>
                <w:color w:val="auto"/>
                <w:sz w:val="24"/>
              </w:rPr>
              <w:t>响和</w:t>
            </w:r>
          </w:p>
          <w:p w14:paraId="2B364AE0">
            <w:pPr>
              <w:adjustRightInd w:val="0"/>
              <w:snapToGrid w:val="0"/>
              <w:jc w:val="center"/>
              <w:rPr>
                <w:rFonts w:ascii="宋体" w:hAnsi="宋体" w:cs="宋体"/>
                <w:bCs/>
                <w:color w:val="auto"/>
                <w:sz w:val="24"/>
              </w:rPr>
            </w:pPr>
            <w:r>
              <w:rPr>
                <w:rFonts w:hint="eastAsia" w:ascii="宋体" w:hAnsi="宋体" w:cs="宋体"/>
                <w:bCs/>
                <w:color w:val="auto"/>
                <w:sz w:val="24"/>
              </w:rPr>
              <w:t>保护</w:t>
            </w:r>
          </w:p>
          <w:p w14:paraId="0EF3530F">
            <w:pPr>
              <w:adjustRightInd w:val="0"/>
              <w:snapToGrid w:val="0"/>
              <w:jc w:val="center"/>
              <w:rPr>
                <w:rFonts w:ascii="宋体" w:hAnsi="宋体" w:cs="宋体"/>
                <w:bCs/>
                <w:color w:val="auto"/>
                <w:szCs w:val="21"/>
              </w:rPr>
            </w:pPr>
            <w:r>
              <w:rPr>
                <w:rFonts w:hint="eastAsia" w:ascii="宋体" w:hAnsi="宋体" w:cs="宋体"/>
                <w:bCs/>
                <w:color w:val="auto"/>
                <w:sz w:val="24"/>
              </w:rPr>
              <w:t>措施</w:t>
            </w:r>
          </w:p>
        </w:tc>
        <w:tc>
          <w:tcPr>
            <w:tcW w:w="9695" w:type="dxa"/>
            <w:vAlign w:val="center"/>
          </w:tcPr>
          <w:p w14:paraId="539F2DD3">
            <w:pPr>
              <w:keepNext/>
              <w:keepLines/>
              <w:spacing w:line="500" w:lineRule="exact"/>
              <w:ind w:firstLine="482" w:firstLineChars="200"/>
              <w:rPr>
                <w:b/>
                <w:color w:val="auto"/>
                <w:sz w:val="24"/>
              </w:rPr>
            </w:pPr>
            <w:r>
              <w:rPr>
                <w:rFonts w:hint="eastAsia"/>
                <w:b/>
                <w:color w:val="auto"/>
                <w:sz w:val="24"/>
              </w:rPr>
              <w:t>一</w:t>
            </w:r>
            <w:r>
              <w:rPr>
                <w:b/>
                <w:color w:val="auto"/>
                <w:sz w:val="24"/>
              </w:rPr>
              <w:t>、废气</w:t>
            </w:r>
          </w:p>
          <w:p w14:paraId="318D2F57">
            <w:pPr>
              <w:spacing w:line="500" w:lineRule="exact"/>
              <w:ind w:firstLine="480" w:firstLineChars="200"/>
              <w:rPr>
                <w:color w:val="auto"/>
                <w:sz w:val="24"/>
              </w:rPr>
            </w:pPr>
            <w:r>
              <w:rPr>
                <w:rFonts w:hint="eastAsia"/>
                <w:snapToGrid w:val="0"/>
                <w:color w:val="auto"/>
                <w:kern w:val="0"/>
                <w:sz w:val="24"/>
              </w:rPr>
              <w:t>1、废气产排情况</w:t>
            </w:r>
          </w:p>
          <w:p w14:paraId="781BC0CC">
            <w:pPr>
              <w:spacing w:line="500" w:lineRule="exact"/>
              <w:ind w:firstLine="480" w:firstLineChars="200"/>
              <w:rPr>
                <w:color w:val="auto"/>
                <w:sz w:val="24"/>
              </w:rPr>
            </w:pPr>
            <w:r>
              <w:rPr>
                <w:rFonts w:hint="eastAsia"/>
                <w:color w:val="auto"/>
                <w:sz w:val="24"/>
              </w:rPr>
              <w:t>本项目废气主要为</w:t>
            </w:r>
            <w:r>
              <w:rPr>
                <w:rFonts w:hint="eastAsia"/>
                <w:color w:val="auto"/>
                <w:sz w:val="24"/>
                <w:lang w:val="en-US" w:eastAsia="zh-CN"/>
              </w:rPr>
              <w:t>投料和包装过程中产生的粉尘G1、缓冲仓等卸料粉尘G2和包装粉尘G3</w:t>
            </w:r>
            <w:r>
              <w:rPr>
                <w:rFonts w:hint="eastAsia"/>
                <w:color w:val="auto"/>
                <w:sz w:val="24"/>
              </w:rPr>
              <w:t>。</w:t>
            </w:r>
          </w:p>
          <w:p w14:paraId="4E3934DD">
            <w:pPr>
              <w:spacing w:line="520" w:lineRule="exact"/>
              <w:ind w:firstLine="480" w:firstLineChars="200"/>
              <w:rPr>
                <w:rFonts w:hint="default" w:eastAsia="宋体"/>
                <w:snapToGrid w:val="0"/>
                <w:color w:val="auto"/>
                <w:kern w:val="0"/>
                <w:sz w:val="24"/>
                <w:highlight w:val="yellow"/>
                <w:lang w:val="en-US" w:eastAsia="zh-CN"/>
              </w:rPr>
            </w:pPr>
            <w:r>
              <w:rPr>
                <w:rFonts w:hint="eastAsia"/>
                <w:color w:val="auto"/>
                <w:sz w:val="24"/>
              </w:rPr>
              <w:t>（</w:t>
            </w:r>
            <w:r>
              <w:rPr>
                <w:color w:val="auto"/>
                <w:sz w:val="24"/>
              </w:rPr>
              <w:t>1</w:t>
            </w:r>
            <w:r>
              <w:rPr>
                <w:rFonts w:hint="eastAsia"/>
                <w:color w:val="auto"/>
                <w:sz w:val="24"/>
              </w:rPr>
              <w:t>）</w:t>
            </w:r>
            <w:r>
              <w:rPr>
                <w:rFonts w:hint="eastAsia"/>
                <w:color w:val="auto"/>
                <w:sz w:val="24"/>
                <w:lang w:val="en-US" w:eastAsia="zh-CN"/>
              </w:rPr>
              <w:t>投料粉尘G1</w:t>
            </w:r>
          </w:p>
          <w:p w14:paraId="114029E5">
            <w:pPr>
              <w:spacing w:line="500" w:lineRule="exact"/>
              <w:ind w:firstLine="480" w:firstLineChars="200"/>
              <w:rPr>
                <w:rFonts w:hint="eastAsia"/>
                <w:color w:val="auto"/>
                <w:sz w:val="24"/>
                <w:highlight w:val="none"/>
              </w:rPr>
            </w:pPr>
            <w:r>
              <w:rPr>
                <w:rFonts w:hint="eastAsia"/>
                <w:color w:val="auto"/>
                <w:sz w:val="24"/>
                <w:highlight w:val="none"/>
                <w:lang w:val="en-US" w:eastAsia="zh-CN"/>
              </w:rPr>
              <w:t>本项目主要上料原料为碳酸钙粉、二氧化钛粉等，源强核算根据</w:t>
            </w:r>
            <w:r>
              <w:rPr>
                <w:rFonts w:hint="eastAsia"/>
                <w:color w:val="auto"/>
                <w:sz w:val="24"/>
                <w:highlight w:val="none"/>
                <w:lang w:eastAsia="zh-CN"/>
              </w:rPr>
              <w:t>《</w:t>
            </w:r>
            <w:r>
              <w:rPr>
                <w:rFonts w:hint="eastAsia"/>
                <w:color w:val="auto"/>
                <w:sz w:val="24"/>
                <w:highlight w:val="none"/>
                <w:lang w:val="en-US" w:eastAsia="zh-CN"/>
              </w:rPr>
              <w:t>逸散性工业粉尘控制技术</w:t>
            </w:r>
            <w:r>
              <w:rPr>
                <w:rFonts w:hint="eastAsia"/>
                <w:color w:val="auto"/>
                <w:sz w:val="24"/>
                <w:highlight w:val="none"/>
                <w:lang w:eastAsia="zh-CN"/>
              </w:rPr>
              <w:t>》</w:t>
            </w:r>
            <w:r>
              <w:rPr>
                <w:rFonts w:hint="eastAsia"/>
                <w:color w:val="auto"/>
                <w:sz w:val="24"/>
                <w:highlight w:val="none"/>
                <w:lang w:val="en-US" w:eastAsia="zh-CN"/>
              </w:rPr>
              <w:t>中参照“第十三章 水泥厂”石膏、石灰石等原料卸料排放因子0.2kg/t（原料）</w:t>
            </w:r>
            <w:r>
              <w:rPr>
                <w:rFonts w:hint="eastAsia"/>
                <w:color w:val="auto"/>
                <w:sz w:val="24"/>
                <w:highlight w:val="none"/>
                <w:lang w:eastAsia="zh-CN"/>
              </w:rPr>
              <w:t>，</w:t>
            </w:r>
            <w:r>
              <w:rPr>
                <w:rFonts w:hint="eastAsia"/>
                <w:color w:val="auto"/>
                <w:sz w:val="24"/>
                <w:highlight w:val="none"/>
              </w:rPr>
              <w:t>根据企业提供资料，</w:t>
            </w:r>
            <w:r>
              <w:rPr>
                <w:rFonts w:hint="eastAsia"/>
                <w:color w:val="auto"/>
                <w:sz w:val="24"/>
                <w:highlight w:val="none"/>
                <w:lang w:val="en-US" w:eastAsia="zh-CN"/>
              </w:rPr>
              <w:t>本项目上料采用负压上料，袋装拆卸、上料过程中会产生一定量的粉尘G1上料粉尘，</w:t>
            </w:r>
            <w:r>
              <w:rPr>
                <w:rFonts w:hint="eastAsia"/>
                <w:color w:val="auto"/>
                <w:sz w:val="24"/>
                <w:highlight w:val="none"/>
              </w:rPr>
              <w:t>本项目</w:t>
            </w:r>
            <w:r>
              <w:rPr>
                <w:rFonts w:hint="eastAsia"/>
                <w:color w:val="auto"/>
                <w:sz w:val="24"/>
                <w:highlight w:val="none"/>
                <w:lang w:val="en-US" w:eastAsia="zh-CN"/>
              </w:rPr>
              <w:t>二氧化钛、碳酸钙粉等原料量约为5000t/a，则G1上料粉尘</w:t>
            </w:r>
            <w:r>
              <w:rPr>
                <w:rFonts w:hint="eastAsia"/>
                <w:color w:val="auto"/>
                <w:sz w:val="24"/>
                <w:highlight w:val="none"/>
              </w:rPr>
              <w:t>产生量</w:t>
            </w:r>
            <w:r>
              <w:rPr>
                <w:rFonts w:hint="eastAsia"/>
                <w:color w:val="auto"/>
                <w:sz w:val="24"/>
                <w:highlight w:val="none"/>
                <w:lang w:val="en-US" w:eastAsia="zh-CN"/>
              </w:rPr>
              <w:t>约</w:t>
            </w:r>
            <w:r>
              <w:rPr>
                <w:rFonts w:hint="eastAsia"/>
                <w:color w:val="auto"/>
                <w:sz w:val="24"/>
                <w:highlight w:val="none"/>
              </w:rPr>
              <w:t>为</w:t>
            </w:r>
            <w:r>
              <w:rPr>
                <w:rFonts w:hint="eastAsia"/>
                <w:color w:val="auto"/>
                <w:sz w:val="24"/>
                <w:highlight w:val="none"/>
                <w:lang w:val="en-US" w:eastAsia="zh-CN"/>
              </w:rPr>
              <w:t>1</w:t>
            </w:r>
            <w:r>
              <w:rPr>
                <w:rFonts w:hint="eastAsia"/>
                <w:color w:val="auto"/>
                <w:sz w:val="24"/>
                <w:highlight w:val="none"/>
              </w:rPr>
              <w:t>t/a。</w:t>
            </w:r>
          </w:p>
          <w:p w14:paraId="13BB8985">
            <w:pPr>
              <w:spacing w:line="360" w:lineRule="auto"/>
              <w:ind w:firstLine="480" w:firstLineChars="200"/>
              <w:rPr>
                <w:color w:val="auto"/>
                <w:sz w:val="24"/>
              </w:rPr>
            </w:pPr>
            <w:r>
              <w:rPr>
                <w:rFonts w:hint="eastAsia"/>
                <w:color w:val="auto"/>
                <w:sz w:val="24"/>
                <w:lang w:val="en-US" w:eastAsia="zh-CN"/>
              </w:rPr>
              <w:t>企业拟采用集气罩收集该工段产生的粉尘，收集后进入布袋除尘器处理，集气罩</w:t>
            </w:r>
            <w:r>
              <w:rPr>
                <w:rFonts w:hint="eastAsia"/>
                <w:color w:val="auto"/>
                <w:sz w:val="24"/>
              </w:rPr>
              <w:t>捕集效率约为90%，处理效率99%</w:t>
            </w:r>
            <w:r>
              <w:rPr>
                <w:rFonts w:hint="eastAsia"/>
                <w:color w:val="auto"/>
                <w:sz w:val="24"/>
                <w:lang w:eastAsia="zh-CN"/>
              </w:rPr>
              <w:t>，</w:t>
            </w:r>
            <w:r>
              <w:rPr>
                <w:rFonts w:hint="eastAsia"/>
                <w:color w:val="auto"/>
                <w:sz w:val="24"/>
                <w:lang w:val="en-US" w:eastAsia="zh-CN"/>
              </w:rPr>
              <w:t>风机风量约为10000m</w:t>
            </w:r>
            <w:r>
              <w:rPr>
                <w:rFonts w:hint="eastAsia"/>
                <w:color w:val="auto"/>
                <w:sz w:val="24"/>
                <w:vertAlign w:val="superscript"/>
                <w:lang w:val="en-US" w:eastAsia="zh-CN"/>
              </w:rPr>
              <w:t>3</w:t>
            </w:r>
            <w:r>
              <w:rPr>
                <w:rFonts w:hint="eastAsia"/>
                <w:color w:val="auto"/>
                <w:sz w:val="24"/>
                <w:lang w:val="en-US" w:eastAsia="zh-CN"/>
              </w:rPr>
              <w:t>/h，</w:t>
            </w:r>
            <w:r>
              <w:rPr>
                <w:rFonts w:hint="eastAsia"/>
                <w:color w:val="auto"/>
                <w:sz w:val="24"/>
              </w:rPr>
              <w:t>经处理的</w:t>
            </w:r>
            <w:r>
              <w:rPr>
                <w:rFonts w:hint="eastAsia"/>
                <w:color w:val="auto"/>
                <w:sz w:val="24"/>
                <w:lang w:val="en-US" w:eastAsia="zh-CN"/>
              </w:rPr>
              <w:t>粉尘有</w:t>
            </w:r>
            <w:r>
              <w:rPr>
                <w:rFonts w:hint="eastAsia"/>
                <w:color w:val="auto"/>
                <w:sz w:val="24"/>
              </w:rPr>
              <w:t>组织排放量为</w:t>
            </w:r>
            <w:r>
              <w:rPr>
                <w:color w:val="auto"/>
                <w:sz w:val="24"/>
              </w:rPr>
              <w:t>0.0</w:t>
            </w:r>
            <w:r>
              <w:rPr>
                <w:rFonts w:hint="eastAsia"/>
                <w:color w:val="auto"/>
                <w:sz w:val="24"/>
                <w:lang w:val="en-US" w:eastAsia="zh-CN"/>
              </w:rPr>
              <w:t>09</w:t>
            </w:r>
            <w:r>
              <w:rPr>
                <w:rFonts w:hint="eastAsia"/>
                <w:color w:val="auto"/>
                <w:sz w:val="24"/>
              </w:rPr>
              <w:t>t/a，</w:t>
            </w:r>
            <w:r>
              <w:rPr>
                <w:rFonts w:hint="eastAsia"/>
                <w:color w:val="auto"/>
                <w:sz w:val="24"/>
                <w:lang w:val="en-US" w:eastAsia="zh-CN"/>
              </w:rPr>
              <w:t>排放速率约为0.00375kg/h，排放浓度约为0.375mg/m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rPr>
              <w:t>未收集的无组织排放量为</w:t>
            </w:r>
            <w:r>
              <w:rPr>
                <w:rFonts w:hint="eastAsia"/>
                <w:color w:val="auto"/>
                <w:sz w:val="24"/>
                <w:lang w:val="en-US" w:eastAsia="zh-CN"/>
              </w:rPr>
              <w:t>0.1</w:t>
            </w:r>
            <w:r>
              <w:rPr>
                <w:rFonts w:hint="eastAsia"/>
                <w:color w:val="auto"/>
                <w:sz w:val="24"/>
              </w:rPr>
              <w:t>t/a，处理后通过车间排气扇排入大气环境。</w:t>
            </w:r>
          </w:p>
          <w:p w14:paraId="432CEB60">
            <w:pPr>
              <w:spacing w:line="360" w:lineRule="auto"/>
              <w:ind w:firstLine="480" w:firstLineChars="200"/>
              <w:rPr>
                <w:rFonts w:hint="eastAsia" w:eastAsia="宋体"/>
                <w:color w:val="auto"/>
                <w:sz w:val="24"/>
                <w:lang w:val="en-US" w:eastAsia="zh-CN"/>
              </w:rPr>
            </w:pPr>
            <w:r>
              <w:rPr>
                <w:color w:val="auto"/>
                <w:sz w:val="24"/>
              </w:rPr>
              <w:t>（2）</w:t>
            </w:r>
            <w:r>
              <w:rPr>
                <w:rFonts w:hint="eastAsia"/>
                <w:color w:val="auto"/>
                <w:sz w:val="24"/>
                <w:lang w:val="en-US" w:eastAsia="zh-CN"/>
              </w:rPr>
              <w:t>缓冲仓装卸粉尘G2</w:t>
            </w:r>
          </w:p>
          <w:p w14:paraId="2B9CDBA5">
            <w:pPr>
              <w:spacing w:line="360" w:lineRule="auto"/>
              <w:ind w:firstLine="480" w:firstLineChars="200"/>
              <w:rPr>
                <w:rFonts w:hint="eastAsia"/>
                <w:bCs/>
                <w:color w:val="auto"/>
                <w:sz w:val="24"/>
                <w:highlight w:val="none"/>
                <w:lang w:val="en-US" w:eastAsia="zh-CN"/>
              </w:rPr>
            </w:pPr>
            <w:r>
              <w:rPr>
                <w:rFonts w:hint="eastAsia"/>
                <w:bCs w:val="0"/>
                <w:color w:val="auto"/>
                <w:sz w:val="24"/>
                <w:highlight w:val="none"/>
              </w:rPr>
              <w:t>本项目</w:t>
            </w:r>
            <w:r>
              <w:rPr>
                <w:rFonts w:hint="eastAsia"/>
                <w:bCs w:val="0"/>
                <w:color w:val="auto"/>
                <w:sz w:val="24"/>
                <w:highlight w:val="none"/>
                <w:lang w:eastAsia="zh-CN"/>
              </w:rPr>
              <w:t>细料（</w:t>
            </w:r>
            <w:r>
              <w:rPr>
                <w:rFonts w:hint="eastAsia"/>
                <w:bCs w:val="0"/>
                <w:color w:val="auto"/>
                <w:sz w:val="24"/>
                <w:highlight w:val="none"/>
                <w:lang w:val="en-US" w:eastAsia="zh-CN"/>
              </w:rPr>
              <w:t>碳酸钙</w:t>
            </w:r>
            <w:r>
              <w:rPr>
                <w:rFonts w:hint="eastAsia"/>
                <w:bCs w:val="0"/>
                <w:color w:val="auto"/>
                <w:sz w:val="24"/>
                <w:highlight w:val="none"/>
                <w:lang w:eastAsia="zh-CN"/>
              </w:rPr>
              <w:t>、</w:t>
            </w:r>
            <w:r>
              <w:rPr>
                <w:rFonts w:hint="eastAsia"/>
                <w:bCs w:val="0"/>
                <w:color w:val="auto"/>
                <w:sz w:val="24"/>
                <w:highlight w:val="none"/>
                <w:lang w:val="en-US" w:eastAsia="zh-CN"/>
              </w:rPr>
              <w:t>二氧化钛</w:t>
            </w:r>
            <w:r>
              <w:rPr>
                <w:rFonts w:hint="eastAsia"/>
                <w:bCs w:val="0"/>
                <w:color w:val="auto"/>
                <w:sz w:val="24"/>
                <w:highlight w:val="none"/>
                <w:lang w:eastAsia="zh-CN"/>
              </w:rPr>
              <w:t>等）</w:t>
            </w:r>
            <w:r>
              <w:rPr>
                <w:rFonts w:hint="eastAsia"/>
                <w:bCs w:val="0"/>
                <w:color w:val="auto"/>
                <w:sz w:val="24"/>
                <w:highlight w:val="none"/>
                <w:lang w:val="en-US" w:eastAsia="zh-CN"/>
              </w:rPr>
              <w:t>经搅拌混合后</w:t>
            </w:r>
            <w:r>
              <w:rPr>
                <w:rFonts w:hint="eastAsia"/>
                <w:bCs w:val="0"/>
                <w:color w:val="auto"/>
                <w:sz w:val="24"/>
                <w:highlight w:val="none"/>
              </w:rPr>
              <w:t>，</w:t>
            </w:r>
            <w:r>
              <w:rPr>
                <w:rFonts w:hint="eastAsia"/>
                <w:bCs w:val="0"/>
                <w:color w:val="auto"/>
                <w:sz w:val="24"/>
                <w:highlight w:val="none"/>
                <w:lang w:eastAsia="zh-CN"/>
              </w:rPr>
              <w:t>经</w:t>
            </w:r>
            <w:r>
              <w:rPr>
                <w:rFonts w:hint="eastAsia"/>
                <w:bCs w:val="0"/>
                <w:color w:val="auto"/>
                <w:sz w:val="24"/>
                <w:highlight w:val="none"/>
              </w:rPr>
              <w:t>泵打入</w:t>
            </w:r>
            <w:r>
              <w:rPr>
                <w:rFonts w:hint="eastAsia"/>
                <w:bCs w:val="0"/>
                <w:color w:val="auto"/>
                <w:sz w:val="24"/>
                <w:highlight w:val="none"/>
                <w:lang w:val="en-US" w:eastAsia="zh-CN"/>
              </w:rPr>
              <w:t>缓冲料仓</w:t>
            </w:r>
            <w:r>
              <w:rPr>
                <w:rFonts w:hint="eastAsia"/>
                <w:bCs w:val="0"/>
                <w:color w:val="auto"/>
                <w:sz w:val="24"/>
                <w:highlight w:val="none"/>
              </w:rPr>
              <w:t>，</w:t>
            </w:r>
            <w:r>
              <w:rPr>
                <w:rFonts w:hint="eastAsia"/>
                <w:bCs w:val="0"/>
                <w:color w:val="auto"/>
                <w:sz w:val="24"/>
                <w:highlight w:val="none"/>
                <w:lang w:val="en-US" w:eastAsia="zh-CN"/>
              </w:rPr>
              <w:t>参考</w:t>
            </w:r>
            <w:r>
              <w:rPr>
                <w:rFonts w:hint="eastAsia"/>
                <w:bCs w:val="0"/>
                <w:color w:val="auto"/>
                <w:sz w:val="24"/>
                <w:highlight w:val="none"/>
              </w:rPr>
              <w:t>《逸散性工业粉尘控制技术》中</w:t>
            </w:r>
            <w:r>
              <w:rPr>
                <w:rFonts w:hint="eastAsia"/>
                <w:color w:val="auto"/>
                <w:sz w:val="24"/>
                <w:highlight w:val="none"/>
                <w:lang w:val="en-US" w:eastAsia="zh-CN"/>
              </w:rPr>
              <w:t>参照“第十三章 水泥厂”石膏、石灰石等</w:t>
            </w:r>
            <w:r>
              <w:rPr>
                <w:rFonts w:hint="eastAsia"/>
                <w:bCs w:val="0"/>
                <w:color w:val="auto"/>
                <w:sz w:val="24"/>
                <w:highlight w:val="none"/>
              </w:rPr>
              <w:t>装卸粉尘产生系数（</w:t>
            </w:r>
            <w:r>
              <w:rPr>
                <w:rFonts w:hint="eastAsia"/>
                <w:bCs w:val="0"/>
                <w:color w:val="auto"/>
                <w:sz w:val="24"/>
                <w:highlight w:val="none"/>
                <w:lang w:val="en-US" w:eastAsia="zh-CN"/>
              </w:rPr>
              <w:t>2</w:t>
            </w:r>
            <w:r>
              <w:rPr>
                <w:rFonts w:hint="eastAsia"/>
                <w:bCs w:val="0"/>
                <w:color w:val="auto"/>
                <w:sz w:val="24"/>
                <w:highlight w:val="none"/>
              </w:rPr>
              <w:t>kg/t），本项目</w:t>
            </w:r>
            <w:r>
              <w:rPr>
                <w:rFonts w:hint="eastAsia"/>
                <w:bCs w:val="0"/>
                <w:color w:val="auto"/>
                <w:sz w:val="24"/>
                <w:highlight w:val="none"/>
                <w:lang w:val="en-US" w:eastAsia="zh-CN"/>
              </w:rPr>
              <w:t>碳酸钙</w:t>
            </w:r>
            <w:r>
              <w:rPr>
                <w:rFonts w:hint="eastAsia"/>
                <w:bCs w:val="0"/>
                <w:color w:val="auto"/>
                <w:sz w:val="24"/>
                <w:highlight w:val="none"/>
                <w:lang w:eastAsia="zh-CN"/>
              </w:rPr>
              <w:t>、</w:t>
            </w:r>
            <w:r>
              <w:rPr>
                <w:rFonts w:hint="eastAsia"/>
                <w:bCs w:val="0"/>
                <w:color w:val="auto"/>
                <w:sz w:val="24"/>
                <w:highlight w:val="none"/>
                <w:lang w:val="en-US" w:eastAsia="zh-CN"/>
              </w:rPr>
              <w:t>二氧化钛等投加量</w:t>
            </w:r>
            <w:r>
              <w:rPr>
                <w:rFonts w:hint="eastAsia"/>
                <w:bCs w:val="0"/>
                <w:color w:val="auto"/>
                <w:sz w:val="24"/>
                <w:highlight w:val="none"/>
              </w:rPr>
              <w:t>约为</w:t>
            </w:r>
            <w:r>
              <w:rPr>
                <w:rFonts w:hint="eastAsia"/>
                <w:bCs w:val="0"/>
                <w:color w:val="auto"/>
                <w:sz w:val="24"/>
                <w:highlight w:val="none"/>
                <w:lang w:val="en-US" w:eastAsia="zh-CN"/>
              </w:rPr>
              <w:t>5000</w:t>
            </w:r>
            <w:r>
              <w:rPr>
                <w:rFonts w:hint="eastAsia"/>
                <w:bCs w:val="0"/>
                <w:color w:val="auto"/>
                <w:sz w:val="24"/>
                <w:highlight w:val="none"/>
              </w:rPr>
              <w:t>t/a，</w:t>
            </w:r>
            <w:r>
              <w:rPr>
                <w:rFonts w:hint="eastAsia"/>
                <w:bCs/>
                <w:color w:val="auto"/>
                <w:sz w:val="24"/>
                <w:highlight w:val="none"/>
                <w:lang w:val="en-US" w:eastAsia="zh-CN"/>
              </w:rPr>
              <w:t>则</w:t>
            </w:r>
            <w:r>
              <w:rPr>
                <w:rFonts w:hint="eastAsia"/>
                <w:bCs/>
                <w:color w:val="auto"/>
                <w:sz w:val="24"/>
                <w:highlight w:val="none"/>
              </w:rPr>
              <w:t>粉尘产生量约为</w:t>
            </w:r>
            <w:r>
              <w:rPr>
                <w:rFonts w:hint="eastAsia"/>
                <w:bCs/>
                <w:color w:val="auto"/>
                <w:sz w:val="24"/>
                <w:highlight w:val="none"/>
                <w:lang w:val="en-US" w:eastAsia="zh-CN"/>
              </w:rPr>
              <w:t>10</w:t>
            </w:r>
            <w:r>
              <w:rPr>
                <w:rFonts w:hint="eastAsia"/>
                <w:bCs/>
                <w:color w:val="auto"/>
                <w:sz w:val="24"/>
                <w:highlight w:val="none"/>
              </w:rPr>
              <w:t>t/a，</w:t>
            </w:r>
            <w:r>
              <w:rPr>
                <w:rFonts w:hint="eastAsia"/>
                <w:bCs/>
                <w:color w:val="auto"/>
                <w:sz w:val="24"/>
                <w:highlight w:val="none"/>
                <w:lang w:eastAsia="zh-CN"/>
              </w:rPr>
              <w:t>仓顶</w:t>
            </w:r>
            <w:r>
              <w:rPr>
                <w:rFonts w:hint="eastAsia"/>
                <w:bCs/>
                <w:color w:val="auto"/>
                <w:sz w:val="24"/>
                <w:highlight w:val="none"/>
              </w:rPr>
              <w:t>安装仓顶除尘器，收集率按99%，</w:t>
            </w:r>
            <w:r>
              <w:rPr>
                <w:rFonts w:hint="eastAsia"/>
                <w:bCs/>
                <w:color w:val="auto"/>
                <w:sz w:val="24"/>
                <w:highlight w:val="none"/>
                <w:lang w:eastAsia="zh-CN"/>
              </w:rPr>
              <w:t>去除率按</w:t>
            </w:r>
            <w:r>
              <w:rPr>
                <w:rFonts w:hint="eastAsia"/>
                <w:bCs/>
                <w:color w:val="auto"/>
                <w:sz w:val="24"/>
                <w:highlight w:val="none"/>
                <w:lang w:val="en-US" w:eastAsia="zh-CN"/>
              </w:rPr>
              <w:t>99%计，则</w:t>
            </w:r>
            <w:r>
              <w:rPr>
                <w:rFonts w:hint="eastAsia"/>
                <w:bCs/>
                <w:color w:val="auto"/>
                <w:sz w:val="24"/>
                <w:highlight w:val="none"/>
              </w:rPr>
              <w:t>粉尘排放</w:t>
            </w:r>
            <w:r>
              <w:rPr>
                <w:rFonts w:hint="eastAsia"/>
                <w:bCs/>
                <w:color w:val="auto"/>
                <w:sz w:val="24"/>
                <w:highlight w:val="none"/>
                <w:lang w:eastAsia="zh-CN"/>
              </w:rPr>
              <w:t>总量</w:t>
            </w:r>
            <w:r>
              <w:rPr>
                <w:rFonts w:hint="eastAsia"/>
                <w:bCs/>
                <w:color w:val="auto"/>
                <w:sz w:val="24"/>
                <w:highlight w:val="none"/>
              </w:rPr>
              <w:t>约为0.</w:t>
            </w:r>
            <w:r>
              <w:rPr>
                <w:rFonts w:hint="eastAsia"/>
                <w:bCs/>
                <w:color w:val="auto"/>
                <w:sz w:val="24"/>
                <w:highlight w:val="none"/>
                <w:lang w:val="en-US" w:eastAsia="zh-CN"/>
              </w:rPr>
              <w:t>199t</w:t>
            </w:r>
            <w:r>
              <w:rPr>
                <w:rFonts w:hint="eastAsia"/>
                <w:bCs/>
                <w:color w:val="auto"/>
                <w:sz w:val="24"/>
                <w:highlight w:val="none"/>
              </w:rPr>
              <w:t>/a</w:t>
            </w:r>
            <w:r>
              <w:rPr>
                <w:rFonts w:hint="eastAsia"/>
                <w:bCs/>
                <w:color w:val="auto"/>
                <w:sz w:val="24"/>
                <w:highlight w:val="none"/>
                <w:lang w:eastAsia="zh-CN"/>
              </w:rPr>
              <w:t>，装卸时间按</w:t>
            </w:r>
            <w:r>
              <w:rPr>
                <w:rFonts w:hint="eastAsia"/>
                <w:bCs/>
                <w:color w:val="auto"/>
                <w:sz w:val="24"/>
                <w:highlight w:val="none"/>
                <w:lang w:val="en-US" w:eastAsia="zh-CN"/>
              </w:rPr>
              <w:t>6h/d，</w:t>
            </w:r>
            <w:r>
              <w:rPr>
                <w:rFonts w:hint="eastAsia"/>
                <w:color w:val="auto"/>
                <w:sz w:val="24"/>
                <w:highlight w:val="none"/>
                <w:lang w:eastAsia="zh-CN"/>
              </w:rPr>
              <w:t>处理后的粉尘经仓顶排放，</w:t>
            </w:r>
            <w:r>
              <w:rPr>
                <w:rFonts w:hint="eastAsia"/>
                <w:color w:val="auto"/>
                <w:sz w:val="24"/>
                <w:highlight w:val="none"/>
                <w:lang w:val="en-US" w:eastAsia="zh-CN"/>
              </w:rPr>
              <w:t>低于15m高，无有组织废气排放。</w:t>
            </w:r>
          </w:p>
          <w:p w14:paraId="0ACA876B">
            <w:pPr>
              <w:spacing w:line="520" w:lineRule="exact"/>
              <w:ind w:firstLine="480" w:firstLineChars="200"/>
              <w:rPr>
                <w:rFonts w:hint="default" w:eastAsia="宋体"/>
                <w:snapToGrid w:val="0"/>
                <w:color w:val="auto"/>
                <w:kern w:val="0"/>
                <w:sz w:val="24"/>
                <w:highlight w:val="none"/>
                <w:lang w:val="en-US" w:eastAsia="zh-CN"/>
              </w:rPr>
            </w:pPr>
            <w:r>
              <w:rPr>
                <w:rFonts w:hint="eastAsia"/>
                <w:snapToGrid w:val="0"/>
                <w:color w:val="auto"/>
                <w:kern w:val="0"/>
                <w:sz w:val="24"/>
                <w:highlight w:val="none"/>
              </w:rPr>
              <w:t>（</w:t>
            </w:r>
            <w:r>
              <w:rPr>
                <w:snapToGrid w:val="0"/>
                <w:color w:val="auto"/>
                <w:kern w:val="0"/>
                <w:sz w:val="24"/>
                <w:highlight w:val="none"/>
              </w:rPr>
              <w:t>3</w:t>
            </w:r>
            <w:r>
              <w:rPr>
                <w:rFonts w:hint="eastAsia"/>
                <w:snapToGrid w:val="0"/>
                <w:color w:val="auto"/>
                <w:kern w:val="0"/>
                <w:sz w:val="24"/>
                <w:highlight w:val="none"/>
              </w:rPr>
              <w:t>）</w:t>
            </w:r>
            <w:r>
              <w:rPr>
                <w:rFonts w:hint="eastAsia"/>
                <w:snapToGrid w:val="0"/>
                <w:color w:val="auto"/>
                <w:kern w:val="0"/>
                <w:sz w:val="24"/>
                <w:highlight w:val="none"/>
                <w:lang w:val="en-US" w:eastAsia="zh-CN"/>
              </w:rPr>
              <w:t>包装粉尘</w:t>
            </w:r>
          </w:p>
          <w:p w14:paraId="328A759B">
            <w:pPr>
              <w:tabs>
                <w:tab w:val="left" w:pos="1620"/>
              </w:tabs>
              <w:adjustRightInd w:val="0"/>
              <w:snapToGrid w:val="0"/>
              <w:spacing w:line="500" w:lineRule="atLeast"/>
              <w:ind w:firstLine="480" w:firstLineChars="200"/>
              <w:rPr>
                <w:rFonts w:hint="eastAsia"/>
                <w:color w:val="auto"/>
                <w:sz w:val="24"/>
                <w:highlight w:val="none"/>
              </w:rPr>
            </w:pPr>
            <w:r>
              <w:rPr>
                <w:rFonts w:hint="eastAsia"/>
                <w:color w:val="auto"/>
                <w:sz w:val="24"/>
                <w:highlight w:val="none"/>
                <w:lang w:val="en-US" w:eastAsia="zh-CN"/>
              </w:rPr>
              <w:t>参照</w:t>
            </w:r>
            <w:r>
              <w:rPr>
                <w:rFonts w:hint="eastAsia"/>
                <w:color w:val="auto"/>
                <w:sz w:val="24"/>
                <w:highlight w:val="none"/>
              </w:rPr>
              <w:t>《逸散性工业粉尘控制技术》</w:t>
            </w:r>
            <w:r>
              <w:rPr>
                <w:rFonts w:hint="eastAsia"/>
                <w:color w:val="auto"/>
                <w:sz w:val="24"/>
                <w:highlight w:val="none"/>
                <w:lang w:val="en-US" w:eastAsia="zh-CN"/>
              </w:rPr>
              <w:t>水泥袋装</w:t>
            </w:r>
            <w:r>
              <w:rPr>
                <w:rFonts w:hint="eastAsia"/>
                <w:color w:val="auto"/>
                <w:sz w:val="24"/>
                <w:highlight w:val="none"/>
              </w:rPr>
              <w:t>粉尘产生系数（0.0</w:t>
            </w:r>
            <w:r>
              <w:rPr>
                <w:rFonts w:hint="eastAsia"/>
                <w:color w:val="auto"/>
                <w:sz w:val="24"/>
                <w:highlight w:val="none"/>
                <w:lang w:val="en-US" w:eastAsia="zh-CN"/>
              </w:rPr>
              <w:t>0</w:t>
            </w:r>
            <w:r>
              <w:rPr>
                <w:rFonts w:hint="eastAsia"/>
                <w:color w:val="auto"/>
                <w:sz w:val="24"/>
                <w:highlight w:val="none"/>
              </w:rPr>
              <w:t>5kg/t</w:t>
            </w:r>
            <w:r>
              <w:rPr>
                <w:rFonts w:hint="eastAsia"/>
                <w:color w:val="auto"/>
                <w:sz w:val="24"/>
                <w:highlight w:val="none"/>
                <w:lang w:val="en-US" w:eastAsia="zh-CN"/>
              </w:rPr>
              <w:t>袋装</w:t>
            </w:r>
            <w:r>
              <w:rPr>
                <w:rFonts w:hint="eastAsia"/>
                <w:color w:val="auto"/>
                <w:sz w:val="24"/>
                <w:highlight w:val="none"/>
              </w:rPr>
              <w:t>），本项</w:t>
            </w:r>
            <w:r>
              <w:rPr>
                <w:rFonts w:hint="eastAsia"/>
                <w:color w:val="auto"/>
                <w:sz w:val="24"/>
                <w:highlight w:val="none"/>
                <w:lang w:val="en-US" w:eastAsia="zh-CN"/>
              </w:rPr>
              <w:t>合格产品包装量</w:t>
            </w:r>
            <w:r>
              <w:rPr>
                <w:rFonts w:hint="eastAsia"/>
                <w:color w:val="auto"/>
                <w:sz w:val="24"/>
                <w:highlight w:val="none"/>
              </w:rPr>
              <w:t>约为</w:t>
            </w:r>
            <w:r>
              <w:rPr>
                <w:rFonts w:hint="eastAsia"/>
                <w:color w:val="auto"/>
                <w:sz w:val="24"/>
                <w:highlight w:val="none"/>
                <w:lang w:val="en-US" w:eastAsia="zh-CN"/>
              </w:rPr>
              <w:t>5000</w:t>
            </w:r>
            <w:r>
              <w:rPr>
                <w:rFonts w:hint="eastAsia"/>
                <w:color w:val="auto"/>
                <w:sz w:val="24"/>
                <w:highlight w:val="none"/>
              </w:rPr>
              <w:t>t/a，则</w:t>
            </w:r>
            <w:r>
              <w:rPr>
                <w:rFonts w:hint="eastAsia"/>
                <w:color w:val="auto"/>
                <w:sz w:val="24"/>
                <w:highlight w:val="none"/>
                <w:lang w:val="en-US" w:eastAsia="zh-CN"/>
              </w:rPr>
              <w:t>包装过程中</w:t>
            </w:r>
            <w:r>
              <w:rPr>
                <w:rFonts w:hint="eastAsia"/>
                <w:color w:val="auto"/>
                <w:sz w:val="24"/>
                <w:highlight w:val="none"/>
              </w:rPr>
              <w:t>粉尘产生量约为</w:t>
            </w:r>
            <w:r>
              <w:rPr>
                <w:rFonts w:hint="eastAsia"/>
                <w:color w:val="auto"/>
                <w:sz w:val="24"/>
                <w:highlight w:val="none"/>
                <w:lang w:val="en-US" w:eastAsia="zh-CN"/>
              </w:rPr>
              <w:t>0.025</w:t>
            </w:r>
            <w:r>
              <w:rPr>
                <w:rFonts w:hint="eastAsia"/>
                <w:color w:val="auto"/>
                <w:sz w:val="24"/>
                <w:highlight w:val="none"/>
              </w:rPr>
              <w:t>t/a，</w:t>
            </w:r>
            <w:r>
              <w:rPr>
                <w:rFonts w:hint="eastAsia"/>
                <w:color w:val="auto"/>
                <w:sz w:val="24"/>
                <w:highlight w:val="none"/>
                <w:lang w:val="en-US" w:eastAsia="zh-CN"/>
              </w:rPr>
              <w:t>包装机上风设置集气罩，粉尘</w:t>
            </w:r>
            <w:r>
              <w:rPr>
                <w:rFonts w:hint="eastAsia"/>
                <w:color w:val="auto"/>
                <w:sz w:val="24"/>
                <w:highlight w:val="none"/>
              </w:rPr>
              <w:t>收集后经布袋除尘器处理，</w:t>
            </w:r>
            <w:r>
              <w:rPr>
                <w:rFonts w:hint="eastAsia"/>
                <w:color w:val="auto"/>
                <w:sz w:val="24"/>
                <w:highlight w:val="none"/>
                <w:lang w:val="en-US" w:eastAsia="zh-CN"/>
              </w:rPr>
              <w:t>集气罩收集率约为90%，</w:t>
            </w:r>
            <w:r>
              <w:rPr>
                <w:rFonts w:hint="eastAsia"/>
                <w:color w:val="auto"/>
                <w:sz w:val="24"/>
                <w:highlight w:val="none"/>
              </w:rPr>
              <w:t>除尘器去除效率按99%计，风机风量为20000m</w:t>
            </w:r>
            <w:r>
              <w:rPr>
                <w:rFonts w:hint="eastAsia"/>
                <w:color w:val="auto"/>
                <w:sz w:val="24"/>
                <w:highlight w:val="none"/>
                <w:vertAlign w:val="superscript"/>
              </w:rPr>
              <w:t>3</w:t>
            </w:r>
            <w:r>
              <w:rPr>
                <w:rFonts w:hint="eastAsia"/>
                <w:color w:val="auto"/>
                <w:sz w:val="24"/>
                <w:highlight w:val="none"/>
              </w:rPr>
              <w:t>/h，则</w:t>
            </w:r>
            <w:r>
              <w:rPr>
                <w:rFonts w:hint="eastAsia"/>
                <w:color w:val="auto"/>
                <w:sz w:val="24"/>
                <w:highlight w:val="none"/>
                <w:lang w:val="en-US" w:eastAsia="zh-CN"/>
              </w:rPr>
              <w:t>包装</w:t>
            </w:r>
            <w:r>
              <w:rPr>
                <w:rFonts w:hint="eastAsia"/>
                <w:color w:val="auto"/>
                <w:sz w:val="24"/>
                <w:highlight w:val="none"/>
              </w:rPr>
              <w:t>粉尘有组织产生量约为</w:t>
            </w:r>
            <w:r>
              <w:rPr>
                <w:rFonts w:hint="eastAsia"/>
                <w:color w:val="auto"/>
                <w:sz w:val="24"/>
                <w:highlight w:val="none"/>
                <w:lang w:val="en-US" w:eastAsia="zh-CN"/>
              </w:rPr>
              <w:t>0.0225</w:t>
            </w:r>
            <w:r>
              <w:rPr>
                <w:rFonts w:hint="eastAsia"/>
                <w:color w:val="auto"/>
                <w:sz w:val="24"/>
                <w:highlight w:val="none"/>
              </w:rPr>
              <w:t>有组织排放量约为</w:t>
            </w:r>
            <w:r>
              <w:rPr>
                <w:rFonts w:hint="eastAsia"/>
                <w:color w:val="auto"/>
                <w:sz w:val="24"/>
                <w:highlight w:val="none"/>
                <w:lang w:val="en-US" w:eastAsia="zh-CN"/>
              </w:rPr>
              <w:t>0.000225</w:t>
            </w:r>
            <w:r>
              <w:rPr>
                <w:rFonts w:hint="eastAsia"/>
                <w:color w:val="auto"/>
                <w:sz w:val="24"/>
                <w:highlight w:val="none"/>
              </w:rPr>
              <w:t>t/a。</w:t>
            </w:r>
          </w:p>
          <w:p w14:paraId="6330BE18">
            <w:pPr>
              <w:tabs>
                <w:tab w:val="left" w:pos="1620"/>
              </w:tabs>
              <w:adjustRightInd w:val="0"/>
              <w:snapToGrid w:val="0"/>
              <w:spacing w:line="500" w:lineRule="atLeast"/>
              <w:ind w:firstLine="480" w:firstLineChars="200"/>
              <w:rPr>
                <w:color w:val="auto"/>
                <w:sz w:val="24"/>
                <w:highlight w:val="none"/>
              </w:rPr>
            </w:pPr>
            <w:r>
              <w:rPr>
                <w:rFonts w:hint="eastAsia"/>
                <w:color w:val="auto"/>
                <w:sz w:val="24"/>
                <w:highlight w:val="none"/>
              </w:rPr>
              <w:t>未捕集的</w:t>
            </w:r>
            <w:r>
              <w:rPr>
                <w:rFonts w:hint="eastAsia"/>
                <w:color w:val="auto"/>
                <w:sz w:val="24"/>
                <w:highlight w:val="none"/>
                <w:lang w:val="en-US" w:eastAsia="zh-CN"/>
              </w:rPr>
              <w:t>包装</w:t>
            </w:r>
            <w:r>
              <w:rPr>
                <w:rFonts w:hint="eastAsia"/>
                <w:color w:val="auto"/>
                <w:sz w:val="24"/>
                <w:highlight w:val="none"/>
              </w:rPr>
              <w:t>粉尘无组织排放，捕集率约为9</w:t>
            </w:r>
            <w:r>
              <w:rPr>
                <w:rFonts w:hint="eastAsia"/>
                <w:color w:val="auto"/>
                <w:sz w:val="24"/>
                <w:highlight w:val="none"/>
                <w:lang w:val="en-US" w:eastAsia="zh-CN"/>
              </w:rPr>
              <w:t>0</w:t>
            </w:r>
            <w:r>
              <w:rPr>
                <w:rFonts w:hint="eastAsia"/>
                <w:color w:val="auto"/>
                <w:sz w:val="24"/>
                <w:highlight w:val="none"/>
              </w:rPr>
              <w:t>%，则无组织排放的粉尘约为0.</w:t>
            </w:r>
            <w:r>
              <w:rPr>
                <w:rFonts w:hint="eastAsia"/>
                <w:color w:val="auto"/>
                <w:sz w:val="24"/>
                <w:highlight w:val="none"/>
                <w:lang w:val="en-US" w:eastAsia="zh-CN"/>
              </w:rPr>
              <w:t>0025</w:t>
            </w:r>
            <w:r>
              <w:rPr>
                <w:rFonts w:hint="eastAsia"/>
                <w:color w:val="auto"/>
                <w:sz w:val="24"/>
                <w:highlight w:val="none"/>
              </w:rPr>
              <w:t>t/a（0.0</w:t>
            </w:r>
            <w:r>
              <w:rPr>
                <w:rFonts w:hint="eastAsia"/>
                <w:color w:val="auto"/>
                <w:sz w:val="24"/>
                <w:highlight w:val="none"/>
                <w:lang w:val="en-US" w:eastAsia="zh-CN"/>
              </w:rPr>
              <w:t>00001</w:t>
            </w:r>
            <w:r>
              <w:rPr>
                <w:rFonts w:hint="eastAsia"/>
                <w:color w:val="auto"/>
                <w:sz w:val="24"/>
                <w:highlight w:val="none"/>
              </w:rPr>
              <w:t>kg/h）。</w:t>
            </w:r>
          </w:p>
          <w:p w14:paraId="4E4EF310">
            <w:pPr>
              <w:tabs>
                <w:tab w:val="left" w:pos="1620"/>
              </w:tabs>
              <w:adjustRightInd w:val="0"/>
              <w:snapToGrid w:val="0"/>
              <w:spacing w:line="500" w:lineRule="atLeast"/>
              <w:ind w:firstLine="482" w:firstLineChars="200"/>
              <w:rPr>
                <w:b/>
                <w:snapToGrid w:val="0"/>
                <w:color w:val="auto"/>
                <w:kern w:val="0"/>
                <w:sz w:val="24"/>
                <w:highlight w:val="none"/>
              </w:rPr>
            </w:pPr>
            <w:r>
              <w:rPr>
                <w:rFonts w:hint="eastAsia"/>
                <w:b/>
                <w:snapToGrid w:val="0"/>
                <w:color w:val="auto"/>
                <w:kern w:val="0"/>
                <w:sz w:val="24"/>
                <w:highlight w:val="none"/>
              </w:rPr>
              <w:t>有组织废气产生及排放情况：</w:t>
            </w:r>
          </w:p>
          <w:p w14:paraId="40E5BF7F">
            <w:pPr>
              <w:tabs>
                <w:tab w:val="left" w:pos="1620"/>
              </w:tabs>
              <w:adjustRightInd w:val="0"/>
              <w:snapToGrid w:val="0"/>
              <w:spacing w:line="500" w:lineRule="atLeast"/>
              <w:jc w:val="center"/>
              <w:rPr>
                <w:b/>
                <w:snapToGrid w:val="0"/>
                <w:color w:val="auto"/>
                <w:kern w:val="0"/>
                <w:sz w:val="24"/>
                <w:highlight w:val="none"/>
              </w:rPr>
            </w:pPr>
            <w:r>
              <w:rPr>
                <w:rFonts w:hint="eastAsia"/>
                <w:b/>
                <w:snapToGrid w:val="0"/>
                <w:color w:val="auto"/>
                <w:kern w:val="0"/>
                <w:sz w:val="24"/>
                <w:highlight w:val="none"/>
              </w:rPr>
              <w:t>表</w:t>
            </w:r>
            <w:r>
              <w:rPr>
                <w:b/>
                <w:snapToGrid w:val="0"/>
                <w:color w:val="auto"/>
                <w:kern w:val="0"/>
                <w:sz w:val="24"/>
                <w:highlight w:val="none"/>
              </w:rPr>
              <w:t xml:space="preserve">1  </w:t>
            </w:r>
            <w:r>
              <w:rPr>
                <w:rFonts w:hint="eastAsia"/>
                <w:b/>
                <w:snapToGrid w:val="0"/>
                <w:color w:val="auto"/>
                <w:kern w:val="0"/>
                <w:sz w:val="24"/>
                <w:highlight w:val="none"/>
              </w:rPr>
              <w:t>有组织废气污染源源强核算结果及相关参数一览表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7"/>
              <w:gridCol w:w="424"/>
              <w:gridCol w:w="639"/>
              <w:gridCol w:w="652"/>
              <w:gridCol w:w="699"/>
              <w:gridCol w:w="680"/>
              <w:gridCol w:w="658"/>
              <w:gridCol w:w="804"/>
              <w:gridCol w:w="696"/>
              <w:gridCol w:w="914"/>
              <w:gridCol w:w="804"/>
              <w:gridCol w:w="914"/>
              <w:gridCol w:w="898"/>
            </w:tblGrid>
            <w:tr w14:paraId="2DBF3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63" w:type="pct"/>
                  <w:vMerge w:val="restart"/>
                  <w:tcBorders>
                    <w:top w:val="single" w:color="000000" w:sz="4" w:space="0"/>
                    <w:left w:val="single" w:color="000000" w:sz="4" w:space="0"/>
                    <w:bottom w:val="single" w:color="000000" w:sz="4" w:space="0"/>
                    <w:right w:val="single" w:color="000000" w:sz="4" w:space="0"/>
                  </w:tcBorders>
                  <w:noWrap w:val="0"/>
                  <w:vAlign w:val="center"/>
                </w:tcPr>
                <w:p w14:paraId="7C45B15A">
                  <w:pPr>
                    <w:ind w:left="-105" w:leftChars="-50" w:right="-105" w:rightChars="-50"/>
                    <w:jc w:val="center"/>
                    <w:rPr>
                      <w:color w:val="auto"/>
                      <w:kern w:val="0"/>
                      <w:szCs w:val="21"/>
                      <w:highlight w:val="none"/>
                    </w:rPr>
                  </w:pPr>
                  <w:r>
                    <w:rPr>
                      <w:rFonts w:hint="eastAsia" w:ascii="宋体" w:hAnsi="宋体"/>
                      <w:color w:val="auto"/>
                      <w:kern w:val="0"/>
                      <w:highlight w:val="none"/>
                    </w:rPr>
                    <w:t>编号</w:t>
                  </w:r>
                </w:p>
              </w:tc>
              <w:tc>
                <w:tcPr>
                  <w:tcW w:w="224" w:type="pct"/>
                  <w:vMerge w:val="restart"/>
                  <w:tcBorders>
                    <w:top w:val="single" w:color="000000" w:sz="4" w:space="0"/>
                    <w:left w:val="nil"/>
                    <w:bottom w:val="single" w:color="000000" w:sz="4" w:space="0"/>
                    <w:right w:val="single" w:color="000000" w:sz="4" w:space="0"/>
                  </w:tcBorders>
                  <w:noWrap w:val="0"/>
                  <w:vAlign w:val="center"/>
                </w:tcPr>
                <w:p w14:paraId="176E1733">
                  <w:pPr>
                    <w:ind w:left="-105" w:leftChars="-50" w:right="-105" w:rightChars="-50"/>
                    <w:jc w:val="center"/>
                    <w:rPr>
                      <w:color w:val="auto"/>
                      <w:kern w:val="0"/>
                      <w:highlight w:val="none"/>
                    </w:rPr>
                  </w:pPr>
                  <w:r>
                    <w:rPr>
                      <w:rFonts w:hint="eastAsia" w:ascii="宋体" w:hAnsi="宋体"/>
                      <w:color w:val="auto"/>
                      <w:kern w:val="0"/>
                      <w:highlight w:val="none"/>
                    </w:rPr>
                    <w:t>污染源</w:t>
                  </w:r>
                </w:p>
              </w:tc>
              <w:tc>
                <w:tcPr>
                  <w:tcW w:w="337" w:type="pct"/>
                  <w:vMerge w:val="restart"/>
                  <w:tcBorders>
                    <w:top w:val="single" w:color="000000" w:sz="4" w:space="0"/>
                    <w:left w:val="nil"/>
                    <w:bottom w:val="single" w:color="000000" w:sz="4" w:space="0"/>
                    <w:right w:val="single" w:color="000000" w:sz="4" w:space="0"/>
                  </w:tcBorders>
                  <w:noWrap w:val="0"/>
                  <w:vAlign w:val="center"/>
                </w:tcPr>
                <w:p w14:paraId="118428E4">
                  <w:pPr>
                    <w:ind w:left="-105" w:leftChars="-50" w:right="-105" w:rightChars="-50"/>
                    <w:jc w:val="center"/>
                    <w:rPr>
                      <w:color w:val="auto"/>
                      <w:kern w:val="0"/>
                      <w:highlight w:val="none"/>
                    </w:rPr>
                  </w:pPr>
                  <w:r>
                    <w:rPr>
                      <w:rFonts w:hint="eastAsia" w:ascii="宋体" w:hAnsi="宋体"/>
                      <w:color w:val="auto"/>
                      <w:kern w:val="0"/>
                      <w:highlight w:val="none"/>
                    </w:rPr>
                    <w:t>风量</w:t>
                  </w:r>
                </w:p>
                <w:p w14:paraId="5C0919B1">
                  <w:pPr>
                    <w:ind w:left="-105" w:leftChars="-50" w:right="-105" w:rightChars="-50"/>
                    <w:jc w:val="center"/>
                    <w:rPr>
                      <w:color w:val="auto"/>
                      <w:kern w:val="0"/>
                      <w:highlight w:val="none"/>
                    </w:rPr>
                  </w:pPr>
                  <w:r>
                    <w:rPr>
                      <w:color w:val="auto"/>
                      <w:kern w:val="0"/>
                      <w:highlight w:val="none"/>
                    </w:rPr>
                    <w:t>m</w:t>
                  </w:r>
                  <w:r>
                    <w:rPr>
                      <w:color w:val="auto"/>
                      <w:kern w:val="0"/>
                      <w:highlight w:val="none"/>
                      <w:vertAlign w:val="superscript"/>
                    </w:rPr>
                    <w:t>3</w:t>
                  </w:r>
                  <w:r>
                    <w:rPr>
                      <w:color w:val="auto"/>
                      <w:kern w:val="0"/>
                      <w:highlight w:val="none"/>
                    </w:rPr>
                    <w:t>/h</w:t>
                  </w:r>
                </w:p>
              </w:tc>
              <w:tc>
                <w:tcPr>
                  <w:tcW w:w="344" w:type="pct"/>
                  <w:vMerge w:val="restart"/>
                  <w:tcBorders>
                    <w:top w:val="single" w:color="000000" w:sz="4" w:space="0"/>
                    <w:left w:val="nil"/>
                    <w:bottom w:val="single" w:color="000000" w:sz="4" w:space="0"/>
                    <w:right w:val="single" w:color="000000" w:sz="4" w:space="0"/>
                  </w:tcBorders>
                  <w:noWrap w:val="0"/>
                  <w:vAlign w:val="center"/>
                </w:tcPr>
                <w:p w14:paraId="3B26D7E2">
                  <w:pPr>
                    <w:ind w:left="-105" w:leftChars="-50" w:right="-105" w:rightChars="-50"/>
                    <w:jc w:val="center"/>
                    <w:rPr>
                      <w:color w:val="auto"/>
                      <w:kern w:val="0"/>
                      <w:highlight w:val="none"/>
                    </w:rPr>
                  </w:pPr>
                  <w:r>
                    <w:rPr>
                      <w:rFonts w:hint="eastAsia" w:ascii="宋体" w:hAnsi="宋体"/>
                      <w:color w:val="auto"/>
                      <w:kern w:val="0"/>
                      <w:highlight w:val="none"/>
                    </w:rPr>
                    <w:t>污染物</w:t>
                  </w:r>
                </w:p>
              </w:tc>
              <w:tc>
                <w:tcPr>
                  <w:tcW w:w="369" w:type="pct"/>
                  <w:vMerge w:val="restart"/>
                  <w:tcBorders>
                    <w:top w:val="single" w:color="000000" w:sz="4" w:space="0"/>
                    <w:left w:val="nil"/>
                    <w:bottom w:val="single" w:color="000000" w:sz="4" w:space="0"/>
                    <w:right w:val="single" w:color="000000" w:sz="4" w:space="0"/>
                  </w:tcBorders>
                  <w:noWrap w:val="0"/>
                  <w:vAlign w:val="center"/>
                </w:tcPr>
                <w:p w14:paraId="7F3FF7C1">
                  <w:pPr>
                    <w:ind w:left="-105" w:leftChars="-50" w:right="-105" w:rightChars="-50"/>
                    <w:jc w:val="center"/>
                    <w:rPr>
                      <w:color w:val="auto"/>
                      <w:kern w:val="0"/>
                      <w:highlight w:val="none"/>
                    </w:rPr>
                  </w:pPr>
                  <w:r>
                    <w:rPr>
                      <w:rFonts w:hint="eastAsia" w:ascii="宋体" w:hAnsi="宋体"/>
                      <w:color w:val="auto"/>
                      <w:kern w:val="0"/>
                      <w:highlight w:val="none"/>
                    </w:rPr>
                    <w:t>治理</w:t>
                  </w:r>
                </w:p>
                <w:p w14:paraId="3F0797DD">
                  <w:pPr>
                    <w:ind w:left="-105" w:leftChars="-50" w:right="-105" w:rightChars="-50"/>
                    <w:jc w:val="center"/>
                    <w:rPr>
                      <w:color w:val="auto"/>
                      <w:kern w:val="0"/>
                      <w:highlight w:val="none"/>
                    </w:rPr>
                  </w:pPr>
                  <w:r>
                    <w:rPr>
                      <w:rFonts w:hint="eastAsia" w:ascii="宋体" w:hAnsi="宋体"/>
                      <w:color w:val="auto"/>
                      <w:kern w:val="0"/>
                      <w:highlight w:val="none"/>
                    </w:rPr>
                    <w:t>措施</w:t>
                  </w:r>
                </w:p>
              </w:tc>
              <w:tc>
                <w:tcPr>
                  <w:tcW w:w="359" w:type="pct"/>
                  <w:vMerge w:val="restart"/>
                  <w:tcBorders>
                    <w:top w:val="single" w:color="000000" w:sz="4" w:space="0"/>
                    <w:left w:val="nil"/>
                    <w:bottom w:val="single" w:color="000000" w:sz="4" w:space="0"/>
                    <w:right w:val="single" w:color="000000" w:sz="4" w:space="0"/>
                  </w:tcBorders>
                  <w:noWrap w:val="0"/>
                  <w:vAlign w:val="center"/>
                </w:tcPr>
                <w:p w14:paraId="1FDB0F0F">
                  <w:pPr>
                    <w:ind w:left="-105" w:leftChars="-50" w:right="-105" w:rightChars="-50"/>
                    <w:jc w:val="center"/>
                    <w:rPr>
                      <w:color w:val="auto"/>
                      <w:kern w:val="0"/>
                      <w:highlight w:val="none"/>
                    </w:rPr>
                  </w:pPr>
                  <w:r>
                    <w:rPr>
                      <w:rFonts w:hint="eastAsia" w:ascii="宋体" w:hAnsi="宋体"/>
                      <w:color w:val="auto"/>
                      <w:kern w:val="0"/>
                      <w:highlight w:val="none"/>
                    </w:rPr>
                    <w:t>是否为可行技术</w:t>
                  </w:r>
                </w:p>
              </w:tc>
              <w:tc>
                <w:tcPr>
                  <w:tcW w:w="347" w:type="pct"/>
                  <w:vMerge w:val="restart"/>
                  <w:tcBorders>
                    <w:top w:val="single" w:color="000000" w:sz="4" w:space="0"/>
                    <w:left w:val="nil"/>
                    <w:bottom w:val="single" w:color="000000" w:sz="4" w:space="0"/>
                    <w:right w:val="single" w:color="000000" w:sz="4" w:space="0"/>
                  </w:tcBorders>
                  <w:noWrap w:val="0"/>
                  <w:vAlign w:val="center"/>
                </w:tcPr>
                <w:p w14:paraId="442A7883">
                  <w:pPr>
                    <w:ind w:left="-105" w:leftChars="-50" w:right="-105" w:rightChars="-50"/>
                    <w:jc w:val="center"/>
                    <w:rPr>
                      <w:color w:val="auto"/>
                      <w:kern w:val="0"/>
                      <w:highlight w:val="none"/>
                    </w:rPr>
                  </w:pPr>
                  <w:r>
                    <w:rPr>
                      <w:rFonts w:hint="eastAsia" w:ascii="宋体" w:hAnsi="宋体"/>
                      <w:color w:val="auto"/>
                      <w:kern w:val="0"/>
                      <w:highlight w:val="none"/>
                    </w:rPr>
                    <w:t>处理</w:t>
                  </w:r>
                </w:p>
                <w:p w14:paraId="729AE582">
                  <w:pPr>
                    <w:ind w:left="-105" w:leftChars="-50" w:right="-105" w:rightChars="-50"/>
                    <w:jc w:val="center"/>
                    <w:rPr>
                      <w:color w:val="auto"/>
                      <w:kern w:val="0"/>
                      <w:highlight w:val="none"/>
                    </w:rPr>
                  </w:pPr>
                  <w:r>
                    <w:rPr>
                      <w:rFonts w:hint="eastAsia" w:ascii="宋体" w:hAnsi="宋体"/>
                      <w:color w:val="auto"/>
                      <w:kern w:val="0"/>
                      <w:highlight w:val="none"/>
                    </w:rPr>
                    <w:t>能力</w:t>
                  </w:r>
                </w:p>
              </w:tc>
              <w:tc>
                <w:tcPr>
                  <w:tcW w:w="1273" w:type="pct"/>
                  <w:gridSpan w:val="3"/>
                  <w:tcBorders>
                    <w:top w:val="single" w:color="000000" w:sz="4" w:space="0"/>
                    <w:left w:val="nil"/>
                    <w:bottom w:val="single" w:color="000000" w:sz="4" w:space="0"/>
                    <w:right w:val="single" w:color="000000" w:sz="4" w:space="0"/>
                  </w:tcBorders>
                  <w:noWrap w:val="0"/>
                  <w:vAlign w:val="center"/>
                </w:tcPr>
                <w:p w14:paraId="266DC377">
                  <w:pPr>
                    <w:ind w:left="-105" w:leftChars="-50" w:right="-105" w:rightChars="-50"/>
                    <w:jc w:val="center"/>
                    <w:rPr>
                      <w:color w:val="auto"/>
                      <w:kern w:val="0"/>
                      <w:highlight w:val="none"/>
                    </w:rPr>
                  </w:pPr>
                  <w:r>
                    <w:rPr>
                      <w:rFonts w:hint="eastAsia" w:ascii="宋体" w:hAnsi="宋体"/>
                      <w:color w:val="auto"/>
                      <w:kern w:val="0"/>
                      <w:highlight w:val="none"/>
                    </w:rPr>
                    <w:t>产生状况</w:t>
                  </w:r>
                </w:p>
              </w:tc>
              <w:tc>
                <w:tcPr>
                  <w:tcW w:w="1380" w:type="pct"/>
                  <w:gridSpan w:val="3"/>
                  <w:tcBorders>
                    <w:top w:val="single" w:color="000000" w:sz="4" w:space="0"/>
                    <w:left w:val="nil"/>
                    <w:bottom w:val="single" w:color="000000" w:sz="4" w:space="0"/>
                    <w:right w:val="single" w:color="000000" w:sz="4" w:space="0"/>
                  </w:tcBorders>
                  <w:noWrap w:val="0"/>
                  <w:vAlign w:val="center"/>
                </w:tcPr>
                <w:p w14:paraId="53BB078D">
                  <w:pPr>
                    <w:ind w:left="-105" w:leftChars="-50" w:right="-105" w:rightChars="-50"/>
                    <w:jc w:val="center"/>
                    <w:rPr>
                      <w:color w:val="auto"/>
                      <w:kern w:val="0"/>
                      <w:highlight w:val="none"/>
                    </w:rPr>
                  </w:pPr>
                  <w:r>
                    <w:rPr>
                      <w:rFonts w:hint="eastAsia" w:ascii="宋体" w:hAnsi="宋体"/>
                      <w:color w:val="auto"/>
                      <w:kern w:val="0"/>
                      <w:highlight w:val="none"/>
                    </w:rPr>
                    <w:t>排放状况</w:t>
                  </w:r>
                </w:p>
              </w:tc>
            </w:tr>
            <w:tr w14:paraId="17EE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5D4E6">
                  <w:pPr>
                    <w:widowControl/>
                    <w:jc w:val="left"/>
                    <w:rPr>
                      <w:rFonts w:ascii="Calibri" w:hAnsi="Calibri"/>
                      <w:color w:val="auto"/>
                      <w:kern w:val="0"/>
                      <w:szCs w:val="21"/>
                      <w:highlight w:val="none"/>
                    </w:rPr>
                  </w:pPr>
                </w:p>
              </w:tc>
              <w:tc>
                <w:tcPr>
                  <w:tcW w:w="224" w:type="pct"/>
                  <w:vMerge w:val="continue"/>
                  <w:tcBorders>
                    <w:top w:val="single" w:color="000000" w:sz="4" w:space="0"/>
                    <w:left w:val="nil"/>
                    <w:bottom w:val="single" w:color="000000" w:sz="4" w:space="0"/>
                    <w:right w:val="single" w:color="000000" w:sz="4" w:space="0"/>
                  </w:tcBorders>
                  <w:noWrap w:val="0"/>
                  <w:vAlign w:val="center"/>
                </w:tcPr>
                <w:p w14:paraId="18BF4D4B">
                  <w:pPr>
                    <w:widowControl/>
                    <w:jc w:val="left"/>
                    <w:rPr>
                      <w:rFonts w:ascii="Calibri" w:hAnsi="Calibri"/>
                      <w:color w:val="auto"/>
                      <w:kern w:val="0"/>
                      <w:szCs w:val="21"/>
                      <w:highlight w:val="none"/>
                    </w:rPr>
                  </w:pPr>
                </w:p>
              </w:tc>
              <w:tc>
                <w:tcPr>
                  <w:tcW w:w="337" w:type="pct"/>
                  <w:vMerge w:val="continue"/>
                  <w:tcBorders>
                    <w:top w:val="single" w:color="000000" w:sz="4" w:space="0"/>
                    <w:left w:val="nil"/>
                    <w:bottom w:val="single" w:color="000000" w:sz="4" w:space="0"/>
                    <w:right w:val="single" w:color="000000" w:sz="4" w:space="0"/>
                  </w:tcBorders>
                  <w:noWrap w:val="0"/>
                  <w:vAlign w:val="center"/>
                </w:tcPr>
                <w:p w14:paraId="47E76F27">
                  <w:pPr>
                    <w:widowControl/>
                    <w:jc w:val="left"/>
                    <w:rPr>
                      <w:rFonts w:ascii="Calibri" w:hAnsi="Calibri"/>
                      <w:color w:val="auto"/>
                      <w:kern w:val="0"/>
                      <w:szCs w:val="21"/>
                      <w:highlight w:val="none"/>
                    </w:rPr>
                  </w:pPr>
                </w:p>
              </w:tc>
              <w:tc>
                <w:tcPr>
                  <w:tcW w:w="344" w:type="pct"/>
                  <w:vMerge w:val="continue"/>
                  <w:tcBorders>
                    <w:top w:val="single" w:color="000000" w:sz="4" w:space="0"/>
                    <w:left w:val="nil"/>
                    <w:bottom w:val="single" w:color="000000" w:sz="4" w:space="0"/>
                    <w:right w:val="single" w:color="000000" w:sz="4" w:space="0"/>
                  </w:tcBorders>
                  <w:noWrap w:val="0"/>
                  <w:vAlign w:val="center"/>
                </w:tcPr>
                <w:p w14:paraId="4133786C">
                  <w:pPr>
                    <w:widowControl/>
                    <w:jc w:val="left"/>
                    <w:rPr>
                      <w:rFonts w:ascii="Calibri" w:hAnsi="Calibri"/>
                      <w:color w:val="auto"/>
                      <w:kern w:val="0"/>
                      <w:szCs w:val="21"/>
                      <w:highlight w:val="none"/>
                    </w:rPr>
                  </w:pPr>
                </w:p>
              </w:tc>
              <w:tc>
                <w:tcPr>
                  <w:tcW w:w="369" w:type="pct"/>
                  <w:vMerge w:val="continue"/>
                  <w:tcBorders>
                    <w:top w:val="single" w:color="000000" w:sz="4" w:space="0"/>
                    <w:left w:val="nil"/>
                    <w:bottom w:val="single" w:color="000000" w:sz="4" w:space="0"/>
                    <w:right w:val="single" w:color="000000" w:sz="4" w:space="0"/>
                  </w:tcBorders>
                  <w:noWrap w:val="0"/>
                  <w:vAlign w:val="center"/>
                </w:tcPr>
                <w:p w14:paraId="04332ED9">
                  <w:pPr>
                    <w:widowControl/>
                    <w:jc w:val="left"/>
                    <w:rPr>
                      <w:rFonts w:ascii="Calibri" w:hAnsi="Calibri"/>
                      <w:color w:val="auto"/>
                      <w:kern w:val="0"/>
                      <w:szCs w:val="21"/>
                      <w:highlight w:val="none"/>
                    </w:rPr>
                  </w:pPr>
                </w:p>
              </w:tc>
              <w:tc>
                <w:tcPr>
                  <w:tcW w:w="359" w:type="pct"/>
                  <w:vMerge w:val="continue"/>
                  <w:tcBorders>
                    <w:top w:val="single" w:color="000000" w:sz="4" w:space="0"/>
                    <w:left w:val="nil"/>
                    <w:bottom w:val="single" w:color="000000" w:sz="4" w:space="0"/>
                    <w:right w:val="single" w:color="000000" w:sz="4" w:space="0"/>
                  </w:tcBorders>
                  <w:noWrap w:val="0"/>
                  <w:vAlign w:val="center"/>
                </w:tcPr>
                <w:p w14:paraId="6F5C811C">
                  <w:pPr>
                    <w:widowControl/>
                    <w:jc w:val="left"/>
                    <w:rPr>
                      <w:rFonts w:ascii="Calibri" w:hAnsi="Calibri"/>
                      <w:color w:val="auto"/>
                      <w:kern w:val="0"/>
                      <w:szCs w:val="21"/>
                      <w:highlight w:val="none"/>
                    </w:rPr>
                  </w:pPr>
                </w:p>
              </w:tc>
              <w:tc>
                <w:tcPr>
                  <w:tcW w:w="347" w:type="pct"/>
                  <w:vMerge w:val="continue"/>
                  <w:tcBorders>
                    <w:top w:val="single" w:color="000000" w:sz="4" w:space="0"/>
                    <w:left w:val="nil"/>
                    <w:bottom w:val="single" w:color="000000" w:sz="4" w:space="0"/>
                    <w:right w:val="single" w:color="000000" w:sz="4" w:space="0"/>
                  </w:tcBorders>
                  <w:noWrap w:val="0"/>
                  <w:vAlign w:val="center"/>
                </w:tcPr>
                <w:p w14:paraId="03445D33">
                  <w:pPr>
                    <w:widowControl/>
                    <w:jc w:val="left"/>
                    <w:rPr>
                      <w:rFonts w:ascii="Calibri" w:hAnsi="Calibri"/>
                      <w:color w:val="auto"/>
                      <w:kern w:val="0"/>
                      <w:szCs w:val="21"/>
                      <w:highlight w:val="none"/>
                    </w:rPr>
                  </w:pPr>
                </w:p>
              </w:tc>
              <w:tc>
                <w:tcPr>
                  <w:tcW w:w="424" w:type="pct"/>
                  <w:tcBorders>
                    <w:top w:val="single" w:color="000000" w:sz="4" w:space="0"/>
                    <w:left w:val="nil"/>
                    <w:bottom w:val="single" w:color="000000" w:sz="4" w:space="0"/>
                    <w:right w:val="single" w:color="000000" w:sz="4" w:space="0"/>
                  </w:tcBorders>
                  <w:noWrap w:val="0"/>
                  <w:vAlign w:val="center"/>
                </w:tcPr>
                <w:p w14:paraId="7487BC49">
                  <w:pPr>
                    <w:ind w:left="-105" w:leftChars="-50" w:right="-105" w:rightChars="-50"/>
                    <w:jc w:val="center"/>
                    <w:rPr>
                      <w:color w:val="auto"/>
                      <w:kern w:val="0"/>
                      <w:highlight w:val="none"/>
                    </w:rPr>
                  </w:pPr>
                  <w:r>
                    <w:rPr>
                      <w:rFonts w:hint="eastAsia" w:ascii="宋体" w:hAnsi="宋体"/>
                      <w:color w:val="auto"/>
                      <w:kern w:val="0"/>
                      <w:highlight w:val="none"/>
                    </w:rPr>
                    <w:t>浓度</w:t>
                  </w:r>
                </w:p>
                <w:p w14:paraId="2554C8A9">
                  <w:pPr>
                    <w:ind w:left="-105" w:leftChars="-50" w:right="-105" w:rightChars="-50"/>
                    <w:jc w:val="center"/>
                    <w:rPr>
                      <w:color w:val="auto"/>
                      <w:kern w:val="0"/>
                      <w:highlight w:val="none"/>
                    </w:rPr>
                  </w:pPr>
                  <w:r>
                    <w:rPr>
                      <w:color w:val="auto"/>
                      <w:kern w:val="0"/>
                      <w:highlight w:val="none"/>
                    </w:rPr>
                    <w:t>mg/m</w:t>
                  </w:r>
                  <w:r>
                    <w:rPr>
                      <w:color w:val="auto"/>
                      <w:kern w:val="0"/>
                      <w:highlight w:val="none"/>
                      <w:vertAlign w:val="superscript"/>
                    </w:rPr>
                    <w:t>3</w:t>
                  </w:r>
                </w:p>
              </w:tc>
              <w:tc>
                <w:tcPr>
                  <w:tcW w:w="367" w:type="pct"/>
                  <w:tcBorders>
                    <w:top w:val="single" w:color="000000" w:sz="4" w:space="0"/>
                    <w:left w:val="nil"/>
                    <w:bottom w:val="single" w:color="000000" w:sz="4" w:space="0"/>
                    <w:right w:val="single" w:color="000000" w:sz="4" w:space="0"/>
                  </w:tcBorders>
                  <w:noWrap w:val="0"/>
                  <w:vAlign w:val="center"/>
                </w:tcPr>
                <w:p w14:paraId="619E3144">
                  <w:pPr>
                    <w:ind w:left="-105" w:leftChars="-50" w:right="-105" w:rightChars="-50"/>
                    <w:jc w:val="center"/>
                    <w:rPr>
                      <w:color w:val="auto"/>
                      <w:kern w:val="0"/>
                      <w:highlight w:val="none"/>
                    </w:rPr>
                  </w:pPr>
                  <w:r>
                    <w:rPr>
                      <w:rFonts w:hint="eastAsia" w:ascii="宋体" w:hAnsi="宋体"/>
                      <w:color w:val="auto"/>
                      <w:kern w:val="0"/>
                      <w:highlight w:val="none"/>
                    </w:rPr>
                    <w:t>速率</w:t>
                  </w:r>
                </w:p>
                <w:p w14:paraId="6E663F58">
                  <w:pPr>
                    <w:ind w:left="-105" w:leftChars="-50" w:right="-105" w:rightChars="-50"/>
                    <w:jc w:val="center"/>
                    <w:rPr>
                      <w:color w:val="auto"/>
                      <w:kern w:val="0"/>
                      <w:highlight w:val="none"/>
                    </w:rPr>
                  </w:pPr>
                  <w:r>
                    <w:rPr>
                      <w:color w:val="auto"/>
                      <w:kern w:val="0"/>
                      <w:highlight w:val="none"/>
                    </w:rPr>
                    <w:t>kg/h</w:t>
                  </w:r>
                </w:p>
              </w:tc>
              <w:tc>
                <w:tcPr>
                  <w:tcW w:w="481" w:type="pct"/>
                  <w:tcBorders>
                    <w:top w:val="single" w:color="000000" w:sz="4" w:space="0"/>
                    <w:left w:val="nil"/>
                    <w:bottom w:val="single" w:color="000000" w:sz="4" w:space="0"/>
                    <w:right w:val="single" w:color="000000" w:sz="4" w:space="0"/>
                  </w:tcBorders>
                  <w:noWrap w:val="0"/>
                  <w:vAlign w:val="center"/>
                </w:tcPr>
                <w:p w14:paraId="5E76326A">
                  <w:pPr>
                    <w:ind w:left="-105" w:leftChars="-50" w:right="-105" w:rightChars="-50"/>
                    <w:jc w:val="center"/>
                    <w:rPr>
                      <w:color w:val="auto"/>
                      <w:kern w:val="0"/>
                      <w:highlight w:val="none"/>
                    </w:rPr>
                  </w:pPr>
                  <w:r>
                    <w:rPr>
                      <w:rFonts w:hint="eastAsia" w:ascii="宋体" w:hAnsi="宋体"/>
                      <w:color w:val="auto"/>
                      <w:kern w:val="0"/>
                      <w:highlight w:val="none"/>
                    </w:rPr>
                    <w:t>产生量</w:t>
                  </w:r>
                  <w:r>
                    <w:rPr>
                      <w:color w:val="auto"/>
                      <w:kern w:val="0"/>
                      <w:highlight w:val="none"/>
                    </w:rPr>
                    <w:t>t/a</w:t>
                  </w:r>
                </w:p>
              </w:tc>
              <w:tc>
                <w:tcPr>
                  <w:tcW w:w="424" w:type="pct"/>
                  <w:tcBorders>
                    <w:top w:val="single" w:color="000000" w:sz="4" w:space="0"/>
                    <w:left w:val="nil"/>
                    <w:bottom w:val="single" w:color="000000" w:sz="4" w:space="0"/>
                    <w:right w:val="single" w:color="000000" w:sz="4" w:space="0"/>
                  </w:tcBorders>
                  <w:noWrap w:val="0"/>
                  <w:vAlign w:val="center"/>
                </w:tcPr>
                <w:p w14:paraId="529AD990">
                  <w:pPr>
                    <w:ind w:left="-105" w:leftChars="-50" w:right="-105" w:rightChars="-50"/>
                    <w:jc w:val="center"/>
                    <w:rPr>
                      <w:color w:val="auto"/>
                      <w:kern w:val="0"/>
                      <w:highlight w:val="none"/>
                    </w:rPr>
                  </w:pPr>
                  <w:r>
                    <w:rPr>
                      <w:rFonts w:hint="eastAsia" w:ascii="宋体" w:hAnsi="宋体"/>
                      <w:color w:val="auto"/>
                      <w:kern w:val="0"/>
                      <w:highlight w:val="none"/>
                    </w:rPr>
                    <w:t>浓度</w:t>
                  </w:r>
                </w:p>
                <w:p w14:paraId="0B61044F">
                  <w:pPr>
                    <w:ind w:left="-105" w:leftChars="-50" w:right="-105" w:rightChars="-50"/>
                    <w:jc w:val="center"/>
                    <w:rPr>
                      <w:color w:val="auto"/>
                      <w:kern w:val="0"/>
                      <w:highlight w:val="none"/>
                    </w:rPr>
                  </w:pPr>
                  <w:r>
                    <w:rPr>
                      <w:color w:val="auto"/>
                      <w:kern w:val="0"/>
                      <w:highlight w:val="none"/>
                    </w:rPr>
                    <w:t>mg/m</w:t>
                  </w:r>
                  <w:r>
                    <w:rPr>
                      <w:color w:val="auto"/>
                      <w:kern w:val="0"/>
                      <w:highlight w:val="none"/>
                      <w:vertAlign w:val="superscript"/>
                    </w:rPr>
                    <w:t>3</w:t>
                  </w:r>
                </w:p>
              </w:tc>
              <w:tc>
                <w:tcPr>
                  <w:tcW w:w="482" w:type="pct"/>
                  <w:tcBorders>
                    <w:top w:val="single" w:color="000000" w:sz="4" w:space="0"/>
                    <w:left w:val="nil"/>
                    <w:bottom w:val="single" w:color="000000" w:sz="4" w:space="0"/>
                    <w:right w:val="single" w:color="000000" w:sz="4" w:space="0"/>
                  </w:tcBorders>
                  <w:noWrap w:val="0"/>
                  <w:vAlign w:val="center"/>
                </w:tcPr>
                <w:p w14:paraId="0D304236">
                  <w:pPr>
                    <w:ind w:left="-105" w:leftChars="-50" w:right="-105" w:rightChars="-50"/>
                    <w:jc w:val="center"/>
                    <w:rPr>
                      <w:color w:val="auto"/>
                      <w:kern w:val="0"/>
                      <w:highlight w:val="none"/>
                    </w:rPr>
                  </w:pPr>
                  <w:r>
                    <w:rPr>
                      <w:rFonts w:hint="eastAsia" w:ascii="宋体" w:hAnsi="宋体"/>
                      <w:color w:val="auto"/>
                      <w:kern w:val="0"/>
                      <w:highlight w:val="none"/>
                    </w:rPr>
                    <w:t>速率</w:t>
                  </w:r>
                </w:p>
                <w:p w14:paraId="39EF6C44">
                  <w:pPr>
                    <w:ind w:left="-105" w:leftChars="-50" w:right="-105" w:rightChars="-50"/>
                    <w:jc w:val="center"/>
                    <w:rPr>
                      <w:color w:val="auto"/>
                      <w:kern w:val="0"/>
                      <w:highlight w:val="none"/>
                    </w:rPr>
                  </w:pPr>
                  <w:r>
                    <w:rPr>
                      <w:color w:val="auto"/>
                      <w:kern w:val="0"/>
                      <w:highlight w:val="none"/>
                    </w:rPr>
                    <w:t>kg/h</w:t>
                  </w:r>
                </w:p>
              </w:tc>
              <w:tc>
                <w:tcPr>
                  <w:tcW w:w="473" w:type="pct"/>
                  <w:tcBorders>
                    <w:top w:val="single" w:color="000000" w:sz="4" w:space="0"/>
                    <w:left w:val="nil"/>
                    <w:bottom w:val="single" w:color="000000" w:sz="4" w:space="0"/>
                    <w:right w:val="single" w:color="000000" w:sz="4" w:space="0"/>
                  </w:tcBorders>
                  <w:noWrap w:val="0"/>
                  <w:vAlign w:val="center"/>
                </w:tcPr>
                <w:p w14:paraId="5D30ECE0">
                  <w:pPr>
                    <w:ind w:left="-105" w:leftChars="-50" w:right="-105" w:rightChars="-50"/>
                    <w:jc w:val="center"/>
                    <w:rPr>
                      <w:color w:val="auto"/>
                      <w:kern w:val="0"/>
                      <w:highlight w:val="none"/>
                    </w:rPr>
                  </w:pPr>
                  <w:r>
                    <w:rPr>
                      <w:rFonts w:hint="eastAsia" w:ascii="宋体" w:hAnsi="宋体"/>
                      <w:color w:val="auto"/>
                      <w:kern w:val="0"/>
                      <w:highlight w:val="none"/>
                    </w:rPr>
                    <w:t>排放量</w:t>
                  </w:r>
                  <w:r>
                    <w:rPr>
                      <w:color w:val="auto"/>
                      <w:kern w:val="0"/>
                      <w:highlight w:val="none"/>
                    </w:rPr>
                    <w:t>t/a</w:t>
                  </w:r>
                </w:p>
              </w:tc>
            </w:tr>
            <w:tr w14:paraId="5523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63" w:type="pct"/>
                  <w:vMerge w:val="restart"/>
                  <w:tcBorders>
                    <w:top w:val="nil"/>
                    <w:left w:val="single" w:color="000000" w:sz="4" w:space="0"/>
                    <w:right w:val="single" w:color="000000" w:sz="4" w:space="0"/>
                  </w:tcBorders>
                  <w:noWrap w:val="0"/>
                  <w:vAlign w:val="center"/>
                </w:tcPr>
                <w:p w14:paraId="06CCF1AE">
                  <w:pPr>
                    <w:ind w:left="-239" w:leftChars="-114" w:right="-105" w:rightChars="-50" w:firstLine="88" w:firstLineChars="42"/>
                    <w:jc w:val="center"/>
                    <w:rPr>
                      <w:color w:val="auto"/>
                      <w:kern w:val="0"/>
                      <w:highlight w:val="none"/>
                    </w:rPr>
                  </w:pPr>
                  <w:r>
                    <w:rPr>
                      <w:color w:val="auto"/>
                      <w:kern w:val="0"/>
                      <w:highlight w:val="none"/>
                    </w:rPr>
                    <w:t>DA001</w:t>
                  </w:r>
                </w:p>
              </w:tc>
              <w:tc>
                <w:tcPr>
                  <w:tcW w:w="224" w:type="pct"/>
                  <w:tcBorders>
                    <w:top w:val="nil"/>
                    <w:left w:val="nil"/>
                    <w:bottom w:val="single" w:color="000000" w:sz="4" w:space="0"/>
                    <w:right w:val="single" w:color="000000" w:sz="4" w:space="0"/>
                  </w:tcBorders>
                  <w:noWrap w:val="0"/>
                  <w:vAlign w:val="center"/>
                </w:tcPr>
                <w:p w14:paraId="0A3F8FAB">
                  <w:pPr>
                    <w:ind w:left="-136" w:leftChars="-65" w:right="-111" w:rightChars="-53"/>
                    <w:jc w:val="center"/>
                    <w:rPr>
                      <w:rFonts w:hint="eastAsia" w:eastAsia="宋体"/>
                      <w:color w:val="auto"/>
                      <w:kern w:val="0"/>
                      <w:highlight w:val="none"/>
                      <w:lang w:eastAsia="zh-CN"/>
                    </w:rPr>
                  </w:pPr>
                  <w:r>
                    <w:rPr>
                      <w:rFonts w:hint="eastAsia" w:ascii="宋体" w:hAnsi="宋体"/>
                      <w:color w:val="auto"/>
                      <w:highlight w:val="none"/>
                      <w:lang w:val="en-US" w:eastAsia="zh-CN"/>
                    </w:rPr>
                    <w:t>上料</w:t>
                  </w:r>
                </w:p>
              </w:tc>
              <w:tc>
                <w:tcPr>
                  <w:tcW w:w="337" w:type="pct"/>
                  <w:tcBorders>
                    <w:top w:val="nil"/>
                    <w:left w:val="nil"/>
                    <w:bottom w:val="single" w:color="000000" w:sz="4" w:space="0"/>
                    <w:right w:val="single" w:color="000000" w:sz="4" w:space="0"/>
                  </w:tcBorders>
                  <w:noWrap w:val="0"/>
                  <w:vAlign w:val="center"/>
                </w:tcPr>
                <w:p w14:paraId="5DE68523">
                  <w:pPr>
                    <w:ind w:left="-105" w:leftChars="-50" w:right="-105" w:rightChars="-50"/>
                    <w:jc w:val="center"/>
                    <w:rPr>
                      <w:color w:val="auto"/>
                      <w:highlight w:val="none"/>
                    </w:rPr>
                  </w:pPr>
                  <w:r>
                    <w:rPr>
                      <w:color w:val="auto"/>
                      <w:kern w:val="0"/>
                      <w:highlight w:val="none"/>
                    </w:rPr>
                    <w:t>10000</w:t>
                  </w:r>
                </w:p>
              </w:tc>
              <w:tc>
                <w:tcPr>
                  <w:tcW w:w="344" w:type="pct"/>
                  <w:tcBorders>
                    <w:top w:val="single" w:color="000000" w:sz="4" w:space="0"/>
                    <w:left w:val="nil"/>
                    <w:bottom w:val="single" w:color="000000" w:sz="4" w:space="0"/>
                    <w:right w:val="single" w:color="000000" w:sz="4" w:space="0"/>
                  </w:tcBorders>
                  <w:noWrap w:val="0"/>
                  <w:vAlign w:val="center"/>
                </w:tcPr>
                <w:p w14:paraId="170F72A1">
                  <w:pPr>
                    <w:ind w:left="-105" w:leftChars="-50" w:right="-105" w:rightChars="-50"/>
                    <w:jc w:val="center"/>
                    <w:rPr>
                      <w:color w:val="auto"/>
                      <w:kern w:val="0"/>
                      <w:highlight w:val="none"/>
                    </w:rPr>
                  </w:pPr>
                  <w:r>
                    <w:rPr>
                      <w:rFonts w:hint="eastAsia" w:ascii="宋体" w:hAnsi="宋体"/>
                      <w:color w:val="auto"/>
                      <w:kern w:val="0"/>
                      <w:highlight w:val="none"/>
                    </w:rPr>
                    <w:t>颗粒物</w:t>
                  </w:r>
                </w:p>
              </w:tc>
              <w:tc>
                <w:tcPr>
                  <w:tcW w:w="369" w:type="pct"/>
                  <w:tcBorders>
                    <w:top w:val="single" w:color="000000" w:sz="4" w:space="0"/>
                    <w:left w:val="nil"/>
                    <w:bottom w:val="single" w:color="000000" w:sz="4" w:space="0"/>
                    <w:right w:val="single" w:color="000000" w:sz="4" w:space="0"/>
                  </w:tcBorders>
                  <w:noWrap w:val="0"/>
                  <w:vAlign w:val="center"/>
                </w:tcPr>
                <w:p w14:paraId="6C082F42">
                  <w:pPr>
                    <w:ind w:left="-105" w:leftChars="-50" w:right="-105" w:rightChars="-50"/>
                    <w:jc w:val="center"/>
                    <w:rPr>
                      <w:rFonts w:hint="eastAsia" w:ascii="宋体" w:hAnsi="宋体"/>
                      <w:color w:val="auto"/>
                      <w:kern w:val="0"/>
                      <w:highlight w:val="none"/>
                      <w:lang w:val="en-US" w:eastAsia="zh-CN"/>
                    </w:rPr>
                  </w:pPr>
                  <w:r>
                    <w:rPr>
                      <w:rFonts w:hint="eastAsia" w:ascii="宋体" w:hAnsi="宋体"/>
                      <w:color w:val="auto"/>
                      <w:kern w:val="0"/>
                      <w:highlight w:val="none"/>
                      <w:lang w:val="en-US" w:eastAsia="zh-CN"/>
                    </w:rPr>
                    <w:t>布袋</w:t>
                  </w:r>
                </w:p>
                <w:p w14:paraId="082566D3">
                  <w:pPr>
                    <w:ind w:left="-105" w:leftChars="-50" w:right="-105" w:rightChars="-50"/>
                    <w:jc w:val="center"/>
                    <w:rPr>
                      <w:rFonts w:hint="eastAsia" w:eastAsia="宋体"/>
                      <w:color w:val="auto"/>
                      <w:kern w:val="0"/>
                      <w:highlight w:val="none"/>
                      <w:lang w:eastAsia="zh-CN"/>
                    </w:rPr>
                  </w:pPr>
                  <w:r>
                    <w:rPr>
                      <w:rFonts w:hint="eastAsia" w:ascii="宋体" w:hAnsi="宋体"/>
                      <w:color w:val="auto"/>
                      <w:kern w:val="0"/>
                      <w:highlight w:val="none"/>
                      <w:lang w:val="en-US" w:eastAsia="zh-CN"/>
                    </w:rPr>
                    <w:t>除尘</w:t>
                  </w:r>
                </w:p>
              </w:tc>
              <w:tc>
                <w:tcPr>
                  <w:tcW w:w="359" w:type="pct"/>
                  <w:tcBorders>
                    <w:top w:val="single" w:color="000000" w:sz="4" w:space="0"/>
                    <w:left w:val="nil"/>
                    <w:bottom w:val="single" w:color="000000" w:sz="4" w:space="0"/>
                    <w:right w:val="single" w:color="000000" w:sz="4" w:space="0"/>
                  </w:tcBorders>
                  <w:noWrap w:val="0"/>
                  <w:vAlign w:val="center"/>
                </w:tcPr>
                <w:p w14:paraId="5FA0E655">
                  <w:pPr>
                    <w:ind w:left="-105" w:leftChars="-50" w:right="-105" w:rightChars="-50"/>
                    <w:jc w:val="center"/>
                    <w:rPr>
                      <w:color w:val="auto"/>
                      <w:kern w:val="0"/>
                      <w:highlight w:val="none"/>
                    </w:rPr>
                  </w:pPr>
                  <w:r>
                    <w:rPr>
                      <w:rFonts w:hint="eastAsia" w:ascii="宋体" w:hAnsi="宋体"/>
                      <w:color w:val="auto"/>
                      <w:kern w:val="0"/>
                      <w:highlight w:val="none"/>
                    </w:rPr>
                    <w:t>是</w:t>
                  </w:r>
                </w:p>
              </w:tc>
              <w:tc>
                <w:tcPr>
                  <w:tcW w:w="347" w:type="pct"/>
                  <w:tcBorders>
                    <w:top w:val="single" w:color="000000" w:sz="4" w:space="0"/>
                    <w:left w:val="nil"/>
                    <w:bottom w:val="single" w:color="000000" w:sz="4" w:space="0"/>
                    <w:right w:val="single" w:color="000000" w:sz="4" w:space="0"/>
                  </w:tcBorders>
                  <w:noWrap w:val="0"/>
                  <w:vAlign w:val="center"/>
                </w:tcPr>
                <w:p w14:paraId="583E580C">
                  <w:pPr>
                    <w:ind w:left="-105" w:leftChars="-50" w:right="-105" w:rightChars="-50"/>
                    <w:jc w:val="center"/>
                    <w:rPr>
                      <w:color w:val="auto"/>
                      <w:kern w:val="0"/>
                      <w:highlight w:val="none"/>
                    </w:rPr>
                  </w:pPr>
                  <w:r>
                    <w:rPr>
                      <w:color w:val="auto"/>
                      <w:kern w:val="0"/>
                      <w:highlight w:val="none"/>
                    </w:rPr>
                    <w:t>9</w:t>
                  </w:r>
                  <w:r>
                    <w:rPr>
                      <w:rFonts w:hint="eastAsia"/>
                      <w:color w:val="auto"/>
                      <w:kern w:val="0"/>
                      <w:highlight w:val="none"/>
                      <w:lang w:val="en-US" w:eastAsia="zh-CN"/>
                    </w:rPr>
                    <w:t>9</w:t>
                  </w:r>
                  <w:r>
                    <w:rPr>
                      <w:color w:val="auto"/>
                      <w:kern w:val="0"/>
                      <w:highlight w:val="none"/>
                    </w:rPr>
                    <w:t>%</w:t>
                  </w:r>
                </w:p>
              </w:tc>
              <w:tc>
                <w:tcPr>
                  <w:tcW w:w="424" w:type="pct"/>
                  <w:tcBorders>
                    <w:top w:val="single" w:color="000000" w:sz="4" w:space="0"/>
                    <w:left w:val="nil"/>
                    <w:bottom w:val="single" w:color="000000" w:sz="4" w:space="0"/>
                    <w:right w:val="single" w:color="000000" w:sz="4" w:space="0"/>
                  </w:tcBorders>
                  <w:noWrap w:val="0"/>
                  <w:vAlign w:val="center"/>
                </w:tcPr>
                <w:p w14:paraId="2F89D3E3">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41.6</w:t>
                  </w:r>
                </w:p>
              </w:tc>
              <w:tc>
                <w:tcPr>
                  <w:tcW w:w="367" w:type="pct"/>
                  <w:tcBorders>
                    <w:top w:val="single" w:color="000000" w:sz="4" w:space="0"/>
                    <w:left w:val="nil"/>
                    <w:bottom w:val="single" w:color="000000" w:sz="4" w:space="0"/>
                    <w:right w:val="single" w:color="000000" w:sz="4" w:space="0"/>
                  </w:tcBorders>
                  <w:noWrap w:val="0"/>
                  <w:vAlign w:val="center"/>
                </w:tcPr>
                <w:p w14:paraId="310CBAF8">
                  <w:pPr>
                    <w:ind w:left="-103" w:leftChars="-49" w:right="-143" w:rightChars="-68"/>
                    <w:jc w:val="center"/>
                    <w:rPr>
                      <w:rFonts w:hint="default" w:eastAsia="宋体"/>
                      <w:color w:val="auto"/>
                      <w:highlight w:val="none"/>
                      <w:lang w:val="en-US" w:eastAsia="zh-CN"/>
                    </w:rPr>
                  </w:pPr>
                  <w:r>
                    <w:rPr>
                      <w:color w:val="auto"/>
                      <w:highlight w:val="none"/>
                    </w:rPr>
                    <w:t>0.</w:t>
                  </w:r>
                  <w:r>
                    <w:rPr>
                      <w:rFonts w:hint="eastAsia"/>
                      <w:color w:val="auto"/>
                      <w:highlight w:val="none"/>
                      <w:lang w:val="en-US" w:eastAsia="zh-CN"/>
                    </w:rPr>
                    <w:t>416</w:t>
                  </w:r>
                </w:p>
              </w:tc>
              <w:tc>
                <w:tcPr>
                  <w:tcW w:w="481" w:type="pct"/>
                  <w:tcBorders>
                    <w:top w:val="single" w:color="000000" w:sz="4" w:space="0"/>
                    <w:left w:val="nil"/>
                    <w:bottom w:val="single" w:color="000000" w:sz="4" w:space="0"/>
                    <w:right w:val="single" w:color="000000" w:sz="4" w:space="0"/>
                  </w:tcBorders>
                  <w:noWrap w:val="0"/>
                  <w:vAlign w:val="center"/>
                </w:tcPr>
                <w:p w14:paraId="5D88A65D">
                  <w:pPr>
                    <w:ind w:left="-103" w:leftChars="-49" w:right="-143" w:rightChars="-68"/>
                    <w:jc w:val="center"/>
                    <w:rPr>
                      <w:rFonts w:hint="eastAsia" w:eastAsia="宋体"/>
                      <w:color w:val="auto"/>
                      <w:highlight w:val="none"/>
                      <w:lang w:eastAsia="zh-CN"/>
                    </w:rPr>
                  </w:pPr>
                  <w:r>
                    <w:rPr>
                      <w:rFonts w:hint="eastAsia"/>
                      <w:color w:val="auto"/>
                      <w:highlight w:val="none"/>
                      <w:lang w:val="en-US" w:eastAsia="zh-CN"/>
                    </w:rPr>
                    <w:t>1</w:t>
                  </w:r>
                </w:p>
              </w:tc>
              <w:tc>
                <w:tcPr>
                  <w:tcW w:w="424" w:type="pct"/>
                  <w:tcBorders>
                    <w:top w:val="single" w:color="000000" w:sz="4" w:space="0"/>
                    <w:left w:val="nil"/>
                    <w:bottom w:val="single" w:color="000000" w:sz="4" w:space="0"/>
                    <w:right w:val="single" w:color="000000" w:sz="4" w:space="0"/>
                  </w:tcBorders>
                  <w:noWrap w:val="0"/>
                  <w:vAlign w:val="center"/>
                </w:tcPr>
                <w:p w14:paraId="5945D5E4">
                  <w:pPr>
                    <w:ind w:left="-103" w:leftChars="-49" w:right="-143" w:rightChars="-68"/>
                    <w:jc w:val="center"/>
                    <w:rPr>
                      <w:rFonts w:hint="eastAsia"/>
                      <w:color w:val="auto"/>
                      <w:highlight w:val="none"/>
                    </w:rPr>
                  </w:pPr>
                  <w:r>
                    <w:rPr>
                      <w:rFonts w:hint="eastAsia"/>
                      <w:color w:val="auto"/>
                      <w:sz w:val="21"/>
                      <w:highlight w:val="none"/>
                      <w:lang w:val="en-US" w:eastAsia="zh-CN"/>
                    </w:rPr>
                    <w:t>0.375</w:t>
                  </w:r>
                </w:p>
              </w:tc>
              <w:tc>
                <w:tcPr>
                  <w:tcW w:w="482" w:type="pct"/>
                  <w:tcBorders>
                    <w:top w:val="single" w:color="000000" w:sz="4" w:space="0"/>
                    <w:left w:val="nil"/>
                    <w:bottom w:val="single" w:color="000000" w:sz="4" w:space="0"/>
                    <w:right w:val="single" w:color="000000" w:sz="4" w:space="0"/>
                  </w:tcBorders>
                  <w:noWrap w:val="0"/>
                  <w:vAlign w:val="center"/>
                </w:tcPr>
                <w:p w14:paraId="66858257">
                  <w:pPr>
                    <w:ind w:left="-103" w:leftChars="-49" w:right="-143" w:rightChars="-68"/>
                    <w:jc w:val="center"/>
                    <w:rPr>
                      <w:rFonts w:hint="eastAsia"/>
                      <w:color w:val="auto"/>
                      <w:highlight w:val="none"/>
                    </w:rPr>
                  </w:pPr>
                  <w:r>
                    <w:rPr>
                      <w:rFonts w:hint="eastAsia"/>
                      <w:color w:val="auto"/>
                      <w:sz w:val="21"/>
                      <w:highlight w:val="none"/>
                      <w:lang w:val="en-US" w:eastAsia="zh-CN"/>
                    </w:rPr>
                    <w:t>0.00375</w:t>
                  </w:r>
                </w:p>
              </w:tc>
              <w:tc>
                <w:tcPr>
                  <w:tcW w:w="473" w:type="pct"/>
                  <w:tcBorders>
                    <w:top w:val="single" w:color="000000" w:sz="4" w:space="0"/>
                    <w:left w:val="nil"/>
                    <w:bottom w:val="single" w:color="000000" w:sz="4" w:space="0"/>
                    <w:right w:val="single" w:color="000000" w:sz="4" w:space="0"/>
                  </w:tcBorders>
                  <w:noWrap w:val="0"/>
                  <w:vAlign w:val="center"/>
                </w:tcPr>
                <w:p w14:paraId="1B5BC711">
                  <w:pPr>
                    <w:ind w:left="-103" w:leftChars="-49" w:right="-143" w:rightChars="-68"/>
                    <w:jc w:val="center"/>
                    <w:rPr>
                      <w:rFonts w:hint="eastAsia" w:eastAsia="宋体"/>
                      <w:color w:val="auto"/>
                      <w:highlight w:val="none"/>
                      <w:lang w:val="en-US" w:eastAsia="zh-CN"/>
                    </w:rPr>
                  </w:pPr>
                  <w:r>
                    <w:rPr>
                      <w:rFonts w:hint="eastAsia"/>
                      <w:color w:val="auto"/>
                      <w:highlight w:val="none"/>
                      <w:lang w:val="en-US" w:eastAsia="zh-CN"/>
                    </w:rPr>
                    <w:t>0.009</w:t>
                  </w:r>
                </w:p>
              </w:tc>
            </w:tr>
            <w:tr w14:paraId="12386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363" w:type="pct"/>
                  <w:vMerge w:val="continue"/>
                  <w:tcBorders>
                    <w:left w:val="single" w:color="000000" w:sz="4" w:space="0"/>
                    <w:bottom w:val="single" w:color="000000" w:sz="4" w:space="0"/>
                    <w:right w:val="single" w:color="000000" w:sz="4" w:space="0"/>
                  </w:tcBorders>
                  <w:noWrap w:val="0"/>
                  <w:vAlign w:val="center"/>
                </w:tcPr>
                <w:p w14:paraId="09281381">
                  <w:pPr>
                    <w:widowControl/>
                    <w:jc w:val="left"/>
                    <w:rPr>
                      <w:rFonts w:ascii="Calibri" w:hAnsi="Calibri"/>
                      <w:color w:val="auto"/>
                      <w:kern w:val="0"/>
                      <w:szCs w:val="21"/>
                      <w:highlight w:val="none"/>
                    </w:rPr>
                  </w:pPr>
                </w:p>
              </w:tc>
              <w:tc>
                <w:tcPr>
                  <w:tcW w:w="224" w:type="pct"/>
                  <w:tcBorders>
                    <w:top w:val="nil"/>
                    <w:left w:val="nil"/>
                    <w:bottom w:val="single" w:color="000000" w:sz="4" w:space="0"/>
                    <w:right w:val="single" w:color="000000" w:sz="4" w:space="0"/>
                  </w:tcBorders>
                  <w:noWrap w:val="0"/>
                  <w:vAlign w:val="center"/>
                </w:tcPr>
                <w:p w14:paraId="5E1B0D18">
                  <w:pPr>
                    <w:widowControl/>
                    <w:jc w:val="left"/>
                    <w:rPr>
                      <w:rFonts w:hint="default" w:ascii="Calibri" w:hAnsi="Calibri" w:eastAsia="宋体"/>
                      <w:color w:val="auto"/>
                      <w:kern w:val="0"/>
                      <w:szCs w:val="21"/>
                      <w:highlight w:val="none"/>
                      <w:lang w:val="en-US" w:eastAsia="zh-CN"/>
                    </w:rPr>
                  </w:pPr>
                  <w:r>
                    <w:rPr>
                      <w:rFonts w:hint="eastAsia" w:ascii="Calibri" w:hAnsi="Calibri"/>
                      <w:color w:val="auto"/>
                      <w:kern w:val="0"/>
                      <w:szCs w:val="21"/>
                      <w:highlight w:val="none"/>
                      <w:lang w:val="en-US" w:eastAsia="zh-CN"/>
                    </w:rPr>
                    <w:t>包装粉尘</w:t>
                  </w:r>
                </w:p>
              </w:tc>
              <w:tc>
                <w:tcPr>
                  <w:tcW w:w="337" w:type="pct"/>
                  <w:tcBorders>
                    <w:top w:val="nil"/>
                    <w:left w:val="nil"/>
                    <w:bottom w:val="single" w:color="000000" w:sz="4" w:space="0"/>
                    <w:right w:val="single" w:color="000000" w:sz="4" w:space="0"/>
                  </w:tcBorders>
                  <w:noWrap w:val="0"/>
                  <w:vAlign w:val="center"/>
                </w:tcPr>
                <w:p w14:paraId="7E115CD1">
                  <w:pPr>
                    <w:widowControl/>
                    <w:jc w:val="left"/>
                    <w:rPr>
                      <w:rFonts w:hint="default" w:ascii="Calibri" w:hAnsi="Calibri" w:eastAsia="宋体"/>
                      <w:color w:val="auto"/>
                      <w:szCs w:val="21"/>
                      <w:highlight w:val="none"/>
                      <w:lang w:val="en-US" w:eastAsia="zh-CN"/>
                    </w:rPr>
                  </w:pPr>
                  <w:r>
                    <w:rPr>
                      <w:rFonts w:hint="eastAsia" w:ascii="Calibri" w:hAnsi="Calibri"/>
                      <w:color w:val="auto"/>
                      <w:szCs w:val="21"/>
                      <w:highlight w:val="none"/>
                      <w:lang w:val="en-US" w:eastAsia="zh-CN"/>
                    </w:rPr>
                    <w:t>20000</w:t>
                  </w:r>
                </w:p>
              </w:tc>
              <w:tc>
                <w:tcPr>
                  <w:tcW w:w="344" w:type="pct"/>
                  <w:tcBorders>
                    <w:top w:val="single" w:color="000000" w:sz="4" w:space="0"/>
                    <w:left w:val="nil"/>
                    <w:bottom w:val="single" w:color="000000" w:sz="4" w:space="0"/>
                    <w:right w:val="single" w:color="000000" w:sz="4" w:space="0"/>
                  </w:tcBorders>
                  <w:noWrap w:val="0"/>
                  <w:vAlign w:val="center"/>
                </w:tcPr>
                <w:p w14:paraId="342E8484">
                  <w:pPr>
                    <w:ind w:left="-105" w:leftChars="-50" w:right="-105" w:rightChars="-50"/>
                    <w:jc w:val="center"/>
                    <w:rPr>
                      <w:rFonts w:hint="eastAsia" w:ascii="宋体" w:hAnsi="宋体" w:eastAsia="宋体"/>
                      <w:color w:val="auto"/>
                      <w:kern w:val="0"/>
                      <w:highlight w:val="none"/>
                      <w:lang w:val="en-US" w:eastAsia="zh-CN"/>
                    </w:rPr>
                  </w:pPr>
                  <w:r>
                    <w:rPr>
                      <w:rFonts w:hint="eastAsia" w:ascii="宋体" w:hAnsi="宋体"/>
                      <w:color w:val="auto"/>
                      <w:kern w:val="0"/>
                      <w:highlight w:val="none"/>
                      <w:lang w:val="en-US" w:eastAsia="zh-CN"/>
                    </w:rPr>
                    <w:t>颗粒物</w:t>
                  </w:r>
                </w:p>
              </w:tc>
              <w:tc>
                <w:tcPr>
                  <w:tcW w:w="369" w:type="pct"/>
                  <w:tcBorders>
                    <w:top w:val="nil"/>
                    <w:left w:val="nil"/>
                    <w:bottom w:val="single" w:color="000000" w:sz="4" w:space="0"/>
                    <w:right w:val="single" w:color="000000" w:sz="4" w:space="0"/>
                  </w:tcBorders>
                  <w:noWrap w:val="0"/>
                  <w:vAlign w:val="center"/>
                </w:tcPr>
                <w:p w14:paraId="09DB9CD0">
                  <w:pPr>
                    <w:widowControl/>
                    <w:jc w:val="left"/>
                    <w:rPr>
                      <w:rFonts w:hint="default" w:ascii="Calibri" w:hAnsi="Calibri" w:eastAsia="宋体"/>
                      <w:color w:val="auto"/>
                      <w:kern w:val="0"/>
                      <w:szCs w:val="21"/>
                      <w:highlight w:val="none"/>
                      <w:lang w:val="en-US" w:eastAsia="zh-CN"/>
                    </w:rPr>
                  </w:pPr>
                  <w:r>
                    <w:rPr>
                      <w:rFonts w:hint="eastAsia"/>
                      <w:color w:val="auto"/>
                      <w:highlight w:val="none"/>
                      <w:lang w:val="en-US" w:eastAsia="zh-CN"/>
                    </w:rPr>
                    <w:t>布袋除尘</w:t>
                  </w:r>
                </w:p>
              </w:tc>
              <w:tc>
                <w:tcPr>
                  <w:tcW w:w="359" w:type="pct"/>
                  <w:tcBorders>
                    <w:top w:val="nil"/>
                    <w:left w:val="nil"/>
                    <w:bottom w:val="single" w:color="000000" w:sz="4" w:space="0"/>
                    <w:right w:val="single" w:color="000000" w:sz="4" w:space="0"/>
                  </w:tcBorders>
                  <w:noWrap w:val="0"/>
                  <w:vAlign w:val="center"/>
                </w:tcPr>
                <w:p w14:paraId="147CAF2C">
                  <w:pPr>
                    <w:widowControl/>
                    <w:jc w:val="center"/>
                    <w:rPr>
                      <w:rFonts w:hint="eastAsia" w:ascii="Calibri" w:hAnsi="Calibri" w:eastAsia="宋体"/>
                      <w:color w:val="auto"/>
                      <w:kern w:val="0"/>
                      <w:szCs w:val="21"/>
                      <w:highlight w:val="none"/>
                      <w:lang w:val="en-US" w:eastAsia="zh-CN"/>
                    </w:rPr>
                  </w:pPr>
                  <w:r>
                    <w:rPr>
                      <w:rFonts w:hint="eastAsia" w:ascii="Calibri" w:hAnsi="Calibri"/>
                      <w:color w:val="auto"/>
                      <w:kern w:val="0"/>
                      <w:szCs w:val="21"/>
                      <w:highlight w:val="none"/>
                      <w:lang w:val="en-US" w:eastAsia="zh-CN"/>
                    </w:rPr>
                    <w:t>是</w:t>
                  </w:r>
                </w:p>
              </w:tc>
              <w:tc>
                <w:tcPr>
                  <w:tcW w:w="347" w:type="pct"/>
                  <w:tcBorders>
                    <w:top w:val="single" w:color="000000" w:sz="4" w:space="0"/>
                    <w:left w:val="nil"/>
                    <w:bottom w:val="single" w:color="000000" w:sz="4" w:space="0"/>
                    <w:right w:val="single" w:color="000000" w:sz="4" w:space="0"/>
                  </w:tcBorders>
                  <w:noWrap w:val="0"/>
                  <w:vAlign w:val="center"/>
                </w:tcPr>
                <w:p w14:paraId="4632FBEF">
                  <w:pPr>
                    <w:ind w:left="-105" w:leftChars="-50" w:right="-105" w:rightChars="-50"/>
                    <w:jc w:val="center"/>
                    <w:rPr>
                      <w:rFonts w:hint="default"/>
                      <w:color w:val="auto"/>
                      <w:highlight w:val="none"/>
                      <w:lang w:val="en-US" w:eastAsia="zh-CN"/>
                    </w:rPr>
                  </w:pPr>
                  <w:r>
                    <w:rPr>
                      <w:rFonts w:hint="eastAsia"/>
                      <w:color w:val="auto"/>
                      <w:highlight w:val="none"/>
                      <w:lang w:val="en-US" w:eastAsia="zh-CN"/>
                    </w:rPr>
                    <w:t>99%</w:t>
                  </w:r>
                </w:p>
              </w:tc>
              <w:tc>
                <w:tcPr>
                  <w:tcW w:w="424" w:type="pct"/>
                  <w:tcBorders>
                    <w:top w:val="single" w:color="000000" w:sz="4" w:space="0"/>
                    <w:left w:val="nil"/>
                    <w:bottom w:val="single" w:color="000000" w:sz="4" w:space="0"/>
                    <w:right w:val="single" w:color="000000" w:sz="4" w:space="0"/>
                  </w:tcBorders>
                  <w:noWrap w:val="0"/>
                  <w:vAlign w:val="center"/>
                </w:tcPr>
                <w:p w14:paraId="5AC1B966">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0.001</w:t>
                  </w:r>
                </w:p>
              </w:tc>
              <w:tc>
                <w:tcPr>
                  <w:tcW w:w="367" w:type="pct"/>
                  <w:tcBorders>
                    <w:top w:val="single" w:color="000000" w:sz="4" w:space="0"/>
                    <w:left w:val="nil"/>
                    <w:bottom w:val="single" w:color="000000" w:sz="4" w:space="0"/>
                    <w:right w:val="single" w:color="000000" w:sz="4" w:space="0"/>
                  </w:tcBorders>
                  <w:noWrap w:val="0"/>
                  <w:vAlign w:val="center"/>
                </w:tcPr>
                <w:p w14:paraId="5ABBC5E6">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0.00001</w:t>
                  </w:r>
                </w:p>
              </w:tc>
              <w:tc>
                <w:tcPr>
                  <w:tcW w:w="481" w:type="pct"/>
                  <w:tcBorders>
                    <w:top w:val="single" w:color="000000" w:sz="4" w:space="0"/>
                    <w:left w:val="nil"/>
                    <w:bottom w:val="single" w:color="000000" w:sz="4" w:space="0"/>
                    <w:right w:val="single" w:color="000000" w:sz="4" w:space="0"/>
                  </w:tcBorders>
                  <w:noWrap w:val="0"/>
                  <w:vAlign w:val="center"/>
                </w:tcPr>
                <w:p w14:paraId="2FBAA60C">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0.025</w:t>
                  </w:r>
                </w:p>
              </w:tc>
              <w:tc>
                <w:tcPr>
                  <w:tcW w:w="424" w:type="pct"/>
                  <w:tcBorders>
                    <w:top w:val="single" w:color="000000" w:sz="4" w:space="0"/>
                    <w:left w:val="nil"/>
                    <w:bottom w:val="single" w:color="000000" w:sz="4" w:space="0"/>
                    <w:right w:val="single" w:color="000000" w:sz="4" w:space="0"/>
                  </w:tcBorders>
                  <w:noWrap w:val="0"/>
                  <w:vAlign w:val="center"/>
                </w:tcPr>
                <w:p w14:paraId="2E9AD74D">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0.0046875</w:t>
                  </w:r>
                </w:p>
              </w:tc>
              <w:tc>
                <w:tcPr>
                  <w:tcW w:w="482" w:type="pct"/>
                  <w:tcBorders>
                    <w:top w:val="single" w:color="000000" w:sz="4" w:space="0"/>
                    <w:left w:val="nil"/>
                    <w:bottom w:val="single" w:color="000000" w:sz="4" w:space="0"/>
                    <w:right w:val="single" w:color="000000" w:sz="4" w:space="0"/>
                  </w:tcBorders>
                  <w:noWrap w:val="0"/>
                  <w:vAlign w:val="center"/>
                </w:tcPr>
                <w:p w14:paraId="52AEA51B">
                  <w:pPr>
                    <w:ind w:left="-103" w:leftChars="-49" w:right="-143" w:rightChars="-68"/>
                    <w:jc w:val="center"/>
                    <w:rPr>
                      <w:rFonts w:hint="default" w:eastAsia="宋体"/>
                      <w:color w:val="auto"/>
                      <w:highlight w:val="none"/>
                      <w:lang w:val="en-US" w:eastAsia="zh-CN"/>
                    </w:rPr>
                  </w:pPr>
                  <w:r>
                    <w:rPr>
                      <w:rFonts w:hint="eastAsia"/>
                      <w:color w:val="auto"/>
                      <w:highlight w:val="none"/>
                      <w:lang w:val="en-US" w:eastAsia="zh-CN"/>
                    </w:rPr>
                    <w:t>0.00009375</w:t>
                  </w:r>
                </w:p>
              </w:tc>
              <w:tc>
                <w:tcPr>
                  <w:tcW w:w="473" w:type="pct"/>
                  <w:tcBorders>
                    <w:top w:val="single" w:color="000000" w:sz="4" w:space="0"/>
                    <w:left w:val="nil"/>
                    <w:bottom w:val="single" w:color="000000" w:sz="4" w:space="0"/>
                    <w:right w:val="single" w:color="000000" w:sz="4" w:space="0"/>
                  </w:tcBorders>
                  <w:noWrap w:val="0"/>
                  <w:vAlign w:val="center"/>
                </w:tcPr>
                <w:p w14:paraId="0297F9DC">
                  <w:pPr>
                    <w:ind w:left="-103" w:leftChars="-49" w:right="-143" w:rightChars="-68"/>
                    <w:jc w:val="center"/>
                    <w:rPr>
                      <w:rFonts w:hint="eastAsia" w:eastAsia="宋体"/>
                      <w:color w:val="auto"/>
                      <w:highlight w:val="none"/>
                      <w:lang w:val="en-US" w:eastAsia="zh-CN"/>
                    </w:rPr>
                  </w:pPr>
                  <w:r>
                    <w:rPr>
                      <w:rFonts w:hint="eastAsia"/>
                      <w:color w:val="auto"/>
                      <w:highlight w:val="none"/>
                      <w:lang w:val="en-US" w:eastAsia="zh-CN"/>
                    </w:rPr>
                    <w:t>0.000225</w:t>
                  </w:r>
                </w:p>
              </w:tc>
            </w:tr>
          </w:tbl>
          <w:p w14:paraId="1B1C7C1C">
            <w:pPr>
              <w:tabs>
                <w:tab w:val="left" w:pos="1620"/>
              </w:tabs>
              <w:adjustRightInd w:val="0"/>
              <w:snapToGrid w:val="0"/>
              <w:spacing w:line="500" w:lineRule="atLeast"/>
              <w:ind w:firstLine="482" w:firstLineChars="200"/>
              <w:jc w:val="center"/>
              <w:rPr>
                <w:b/>
                <w:snapToGrid w:val="0"/>
                <w:color w:val="auto"/>
                <w:kern w:val="0"/>
                <w:sz w:val="24"/>
                <w:highlight w:val="none"/>
              </w:rPr>
            </w:pPr>
            <w:r>
              <w:rPr>
                <w:rFonts w:hint="eastAsia"/>
                <w:b/>
                <w:snapToGrid w:val="0"/>
                <w:color w:val="auto"/>
                <w:kern w:val="0"/>
                <w:sz w:val="24"/>
                <w:highlight w:val="none"/>
              </w:rPr>
              <w:t>表</w:t>
            </w:r>
            <w:r>
              <w:rPr>
                <w:b/>
                <w:snapToGrid w:val="0"/>
                <w:color w:val="auto"/>
                <w:kern w:val="0"/>
                <w:sz w:val="24"/>
                <w:highlight w:val="none"/>
              </w:rPr>
              <w:t xml:space="preserve">-2  </w:t>
            </w:r>
            <w:r>
              <w:rPr>
                <w:rFonts w:hint="eastAsia"/>
                <w:b/>
                <w:snapToGrid w:val="0"/>
                <w:color w:val="auto"/>
                <w:kern w:val="0"/>
                <w:sz w:val="24"/>
                <w:highlight w:val="none"/>
              </w:rPr>
              <w:t>有组织废气污染源源强核算结果及相关参数一览表（续）</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18"/>
              <w:gridCol w:w="890"/>
              <w:gridCol w:w="1434"/>
              <w:gridCol w:w="1320"/>
              <w:gridCol w:w="653"/>
              <w:gridCol w:w="701"/>
              <w:gridCol w:w="699"/>
              <w:gridCol w:w="754"/>
              <w:gridCol w:w="754"/>
              <w:gridCol w:w="740"/>
              <w:gridCol w:w="606"/>
            </w:tblGrid>
            <w:tr w14:paraId="74AAFA1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85" w:type="pct"/>
                  <w:vMerge w:val="restart"/>
                  <w:tcBorders>
                    <w:top w:val="single" w:color="auto" w:sz="4" w:space="0"/>
                    <w:left w:val="single" w:color="auto" w:sz="4" w:space="0"/>
                    <w:bottom w:val="single" w:color="auto" w:sz="4" w:space="0"/>
                    <w:right w:val="single" w:color="auto" w:sz="4" w:space="0"/>
                  </w:tcBorders>
                  <w:noWrap w:val="0"/>
                  <w:vAlign w:val="center"/>
                </w:tcPr>
                <w:p w14:paraId="54749B91">
                  <w:pPr>
                    <w:widowControl/>
                    <w:spacing w:line="240" w:lineRule="exact"/>
                    <w:jc w:val="center"/>
                    <w:rPr>
                      <w:snapToGrid w:val="0"/>
                      <w:color w:val="auto"/>
                      <w:kern w:val="0"/>
                      <w:szCs w:val="21"/>
                      <w:highlight w:val="none"/>
                    </w:rPr>
                  </w:pPr>
                  <w:r>
                    <w:rPr>
                      <w:snapToGrid w:val="0"/>
                      <w:color w:val="auto"/>
                      <w:kern w:val="0"/>
                      <w:szCs w:val="21"/>
                      <w:highlight w:val="none"/>
                    </w:rPr>
                    <w:t>编号</w:t>
                  </w:r>
                </w:p>
              </w:tc>
              <w:tc>
                <w:tcPr>
                  <w:tcW w:w="470" w:type="pct"/>
                  <w:vMerge w:val="restart"/>
                  <w:tcBorders>
                    <w:top w:val="single" w:color="auto" w:sz="4" w:space="0"/>
                    <w:left w:val="single" w:color="auto" w:sz="4" w:space="0"/>
                    <w:bottom w:val="single" w:color="auto" w:sz="4" w:space="0"/>
                    <w:right w:val="single" w:color="auto" w:sz="4" w:space="0"/>
                  </w:tcBorders>
                  <w:noWrap w:val="0"/>
                  <w:vAlign w:val="center"/>
                </w:tcPr>
                <w:p w14:paraId="5FFCB965">
                  <w:pPr>
                    <w:spacing w:line="240" w:lineRule="exact"/>
                    <w:jc w:val="center"/>
                    <w:rPr>
                      <w:snapToGrid w:val="0"/>
                      <w:color w:val="auto"/>
                      <w:kern w:val="0"/>
                      <w:szCs w:val="21"/>
                      <w:highlight w:val="none"/>
                    </w:rPr>
                  </w:pPr>
                  <w:r>
                    <w:rPr>
                      <w:snapToGrid w:val="0"/>
                      <w:color w:val="auto"/>
                      <w:kern w:val="0"/>
                      <w:szCs w:val="21"/>
                      <w:highlight w:val="none"/>
                    </w:rPr>
                    <w:t>名称</w:t>
                  </w:r>
                </w:p>
              </w:tc>
              <w:tc>
                <w:tcPr>
                  <w:tcW w:w="1454" w:type="pct"/>
                  <w:gridSpan w:val="2"/>
                  <w:tcBorders>
                    <w:top w:val="single" w:color="auto" w:sz="4" w:space="0"/>
                    <w:left w:val="single" w:color="auto" w:sz="4" w:space="0"/>
                    <w:bottom w:val="single" w:color="auto" w:sz="4" w:space="0"/>
                    <w:right w:val="single" w:color="auto" w:sz="4" w:space="0"/>
                  </w:tcBorders>
                  <w:noWrap w:val="0"/>
                  <w:vAlign w:val="center"/>
                </w:tcPr>
                <w:p w14:paraId="79E33637">
                  <w:pPr>
                    <w:spacing w:line="240" w:lineRule="exact"/>
                    <w:jc w:val="center"/>
                    <w:rPr>
                      <w:color w:val="auto"/>
                      <w:kern w:val="0"/>
                      <w:szCs w:val="21"/>
                      <w:highlight w:val="none"/>
                    </w:rPr>
                  </w:pPr>
                  <w:r>
                    <w:rPr>
                      <w:color w:val="auto"/>
                      <w:kern w:val="0"/>
                      <w:szCs w:val="21"/>
                      <w:highlight w:val="none"/>
                    </w:rPr>
                    <w:t>排气筒底部中心经纬度</w:t>
                  </w:r>
                </w:p>
              </w:tc>
              <w:tc>
                <w:tcPr>
                  <w:tcW w:w="345" w:type="pct"/>
                  <w:vMerge w:val="restart"/>
                  <w:tcBorders>
                    <w:top w:val="single" w:color="auto" w:sz="4" w:space="0"/>
                    <w:left w:val="single" w:color="auto" w:sz="4" w:space="0"/>
                    <w:bottom w:val="single" w:color="auto" w:sz="4" w:space="0"/>
                    <w:right w:val="single" w:color="auto" w:sz="4" w:space="0"/>
                  </w:tcBorders>
                  <w:noWrap w:val="0"/>
                  <w:vAlign w:val="center"/>
                </w:tcPr>
                <w:p w14:paraId="7FA6A8F5">
                  <w:pPr>
                    <w:widowControl/>
                    <w:spacing w:line="240" w:lineRule="exact"/>
                    <w:ind w:left="-86" w:leftChars="-41" w:right="-109" w:rightChars="-52"/>
                    <w:jc w:val="center"/>
                    <w:rPr>
                      <w:snapToGrid w:val="0"/>
                      <w:color w:val="auto"/>
                      <w:kern w:val="0"/>
                      <w:szCs w:val="21"/>
                      <w:highlight w:val="none"/>
                    </w:rPr>
                  </w:pPr>
                  <w:r>
                    <w:rPr>
                      <w:snapToGrid w:val="0"/>
                      <w:color w:val="auto"/>
                      <w:kern w:val="0"/>
                      <w:szCs w:val="21"/>
                      <w:highlight w:val="none"/>
                    </w:rPr>
                    <w:t>排气筒底部海拔高度</w:t>
                  </w:r>
                </w:p>
              </w:tc>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14:paraId="7E4C1853">
                  <w:pPr>
                    <w:widowControl/>
                    <w:spacing w:line="240" w:lineRule="exact"/>
                    <w:ind w:left="-105" w:leftChars="-51" w:right="-105" w:rightChars="-50" w:hanging="2"/>
                    <w:jc w:val="center"/>
                    <w:rPr>
                      <w:snapToGrid w:val="0"/>
                      <w:color w:val="auto"/>
                      <w:kern w:val="0"/>
                      <w:szCs w:val="21"/>
                      <w:highlight w:val="none"/>
                    </w:rPr>
                  </w:pPr>
                  <w:r>
                    <w:rPr>
                      <w:snapToGrid w:val="0"/>
                      <w:color w:val="auto"/>
                      <w:kern w:val="0"/>
                      <w:szCs w:val="21"/>
                      <w:highlight w:val="none"/>
                    </w:rPr>
                    <w:t>排气筒高度</w:t>
                  </w:r>
                </w:p>
              </w:tc>
              <w:tc>
                <w:tcPr>
                  <w:tcW w:w="369" w:type="pct"/>
                  <w:vMerge w:val="restart"/>
                  <w:tcBorders>
                    <w:top w:val="single" w:color="auto" w:sz="4" w:space="0"/>
                    <w:left w:val="single" w:color="auto" w:sz="4" w:space="0"/>
                    <w:bottom w:val="single" w:color="auto" w:sz="4" w:space="0"/>
                    <w:right w:val="single" w:color="auto" w:sz="4" w:space="0"/>
                  </w:tcBorders>
                  <w:noWrap w:val="0"/>
                  <w:vAlign w:val="center"/>
                </w:tcPr>
                <w:p w14:paraId="36C5A3E1">
                  <w:pPr>
                    <w:widowControl/>
                    <w:spacing w:line="240" w:lineRule="exact"/>
                    <w:ind w:left="-109" w:leftChars="-52" w:right="-105" w:rightChars="-50"/>
                    <w:jc w:val="center"/>
                    <w:rPr>
                      <w:snapToGrid w:val="0"/>
                      <w:color w:val="auto"/>
                      <w:kern w:val="0"/>
                      <w:szCs w:val="21"/>
                      <w:highlight w:val="none"/>
                    </w:rPr>
                  </w:pPr>
                  <w:r>
                    <w:rPr>
                      <w:snapToGrid w:val="0"/>
                      <w:color w:val="auto"/>
                      <w:kern w:val="0"/>
                      <w:szCs w:val="21"/>
                      <w:highlight w:val="none"/>
                    </w:rPr>
                    <w:t>排气筒出口内径</w:t>
                  </w:r>
                </w:p>
              </w:tc>
              <w:tc>
                <w:tcPr>
                  <w:tcW w:w="398" w:type="pct"/>
                  <w:vMerge w:val="restart"/>
                  <w:tcBorders>
                    <w:top w:val="single" w:color="auto" w:sz="4" w:space="0"/>
                    <w:left w:val="single" w:color="auto" w:sz="4" w:space="0"/>
                    <w:bottom w:val="single" w:color="auto" w:sz="4" w:space="0"/>
                    <w:right w:val="single" w:color="auto" w:sz="4" w:space="0"/>
                  </w:tcBorders>
                  <w:noWrap w:val="0"/>
                  <w:vAlign w:val="center"/>
                </w:tcPr>
                <w:p w14:paraId="06B533CA">
                  <w:pPr>
                    <w:widowControl/>
                    <w:spacing w:line="240" w:lineRule="exact"/>
                    <w:jc w:val="center"/>
                    <w:rPr>
                      <w:snapToGrid w:val="0"/>
                      <w:color w:val="auto"/>
                      <w:kern w:val="0"/>
                      <w:szCs w:val="21"/>
                      <w:highlight w:val="none"/>
                    </w:rPr>
                  </w:pPr>
                  <w:r>
                    <w:rPr>
                      <w:snapToGrid w:val="0"/>
                      <w:color w:val="auto"/>
                      <w:kern w:val="0"/>
                      <w:szCs w:val="21"/>
                      <w:highlight w:val="none"/>
                    </w:rPr>
                    <w:t>烟气流速</w:t>
                  </w:r>
                </w:p>
              </w:tc>
              <w:tc>
                <w:tcPr>
                  <w:tcW w:w="398" w:type="pct"/>
                  <w:vMerge w:val="restart"/>
                  <w:tcBorders>
                    <w:top w:val="single" w:color="auto" w:sz="4" w:space="0"/>
                    <w:left w:val="single" w:color="auto" w:sz="4" w:space="0"/>
                    <w:bottom w:val="single" w:color="auto" w:sz="4" w:space="0"/>
                    <w:right w:val="single" w:color="auto" w:sz="4" w:space="0"/>
                  </w:tcBorders>
                  <w:noWrap w:val="0"/>
                  <w:vAlign w:val="center"/>
                </w:tcPr>
                <w:p w14:paraId="4941181B">
                  <w:pPr>
                    <w:widowControl/>
                    <w:spacing w:line="240" w:lineRule="exact"/>
                    <w:jc w:val="center"/>
                    <w:rPr>
                      <w:snapToGrid w:val="0"/>
                      <w:color w:val="auto"/>
                      <w:kern w:val="0"/>
                      <w:szCs w:val="21"/>
                      <w:highlight w:val="none"/>
                    </w:rPr>
                  </w:pPr>
                  <w:r>
                    <w:rPr>
                      <w:snapToGrid w:val="0"/>
                      <w:color w:val="auto"/>
                      <w:kern w:val="0"/>
                      <w:szCs w:val="21"/>
                      <w:highlight w:val="none"/>
                    </w:rPr>
                    <w:t>烟气出口温度</w:t>
                  </w:r>
                </w:p>
              </w:tc>
              <w:tc>
                <w:tcPr>
                  <w:tcW w:w="391" w:type="pct"/>
                  <w:vMerge w:val="restart"/>
                  <w:tcBorders>
                    <w:top w:val="single" w:color="auto" w:sz="4" w:space="0"/>
                    <w:left w:val="single" w:color="auto" w:sz="4" w:space="0"/>
                    <w:bottom w:val="single" w:color="auto" w:sz="4" w:space="0"/>
                    <w:right w:val="single" w:color="auto" w:sz="4" w:space="0"/>
                  </w:tcBorders>
                  <w:noWrap w:val="0"/>
                  <w:vAlign w:val="center"/>
                </w:tcPr>
                <w:p w14:paraId="0662AC65">
                  <w:pPr>
                    <w:widowControl/>
                    <w:spacing w:line="240" w:lineRule="exact"/>
                    <w:jc w:val="center"/>
                    <w:rPr>
                      <w:snapToGrid w:val="0"/>
                      <w:color w:val="auto"/>
                      <w:kern w:val="0"/>
                      <w:szCs w:val="21"/>
                      <w:highlight w:val="none"/>
                    </w:rPr>
                  </w:pPr>
                  <w:r>
                    <w:rPr>
                      <w:snapToGrid w:val="0"/>
                      <w:color w:val="auto"/>
                      <w:kern w:val="0"/>
                      <w:szCs w:val="21"/>
                      <w:highlight w:val="none"/>
                    </w:rPr>
                    <w:t>年排放小时数</w:t>
                  </w:r>
                </w:p>
              </w:tc>
              <w:tc>
                <w:tcPr>
                  <w:tcW w:w="320" w:type="pct"/>
                  <w:vMerge w:val="restart"/>
                  <w:tcBorders>
                    <w:top w:val="single" w:color="auto" w:sz="4" w:space="0"/>
                    <w:left w:val="single" w:color="auto" w:sz="4" w:space="0"/>
                    <w:bottom w:val="single" w:color="auto" w:sz="4" w:space="0"/>
                    <w:right w:val="single" w:color="auto" w:sz="4" w:space="0"/>
                  </w:tcBorders>
                  <w:noWrap w:val="0"/>
                  <w:vAlign w:val="center"/>
                </w:tcPr>
                <w:p w14:paraId="0E9A4BE1">
                  <w:pPr>
                    <w:widowControl/>
                    <w:ind w:left="-105" w:leftChars="-50" w:right="-105" w:rightChars="-50"/>
                    <w:jc w:val="center"/>
                    <w:rPr>
                      <w:snapToGrid w:val="0"/>
                      <w:color w:val="auto"/>
                      <w:kern w:val="0"/>
                      <w:szCs w:val="21"/>
                      <w:highlight w:val="none"/>
                    </w:rPr>
                  </w:pPr>
                  <w:r>
                    <w:rPr>
                      <w:snapToGrid w:val="0"/>
                      <w:color w:val="auto"/>
                      <w:kern w:val="0"/>
                      <w:szCs w:val="21"/>
                      <w:highlight w:val="none"/>
                    </w:rPr>
                    <w:t>排放</w:t>
                  </w:r>
                </w:p>
                <w:p w14:paraId="216830CB">
                  <w:pPr>
                    <w:ind w:left="-105" w:leftChars="-50" w:right="-105" w:rightChars="-50"/>
                    <w:jc w:val="center"/>
                    <w:rPr>
                      <w:snapToGrid w:val="0"/>
                      <w:color w:val="auto"/>
                      <w:kern w:val="0"/>
                      <w:szCs w:val="21"/>
                      <w:highlight w:val="none"/>
                    </w:rPr>
                  </w:pPr>
                  <w:r>
                    <w:rPr>
                      <w:snapToGrid w:val="0"/>
                      <w:color w:val="auto"/>
                      <w:kern w:val="0"/>
                      <w:szCs w:val="21"/>
                      <w:highlight w:val="none"/>
                    </w:rPr>
                    <w:t>工况</w:t>
                  </w:r>
                </w:p>
              </w:tc>
            </w:tr>
            <w:tr w14:paraId="7F74EB7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85" w:type="pct"/>
                  <w:vMerge w:val="continue"/>
                  <w:tcBorders>
                    <w:top w:val="single" w:color="auto" w:sz="4" w:space="0"/>
                    <w:left w:val="single" w:color="auto" w:sz="4" w:space="0"/>
                    <w:bottom w:val="single" w:color="auto" w:sz="4" w:space="0"/>
                    <w:right w:val="single" w:color="auto" w:sz="4" w:space="0"/>
                  </w:tcBorders>
                  <w:noWrap w:val="0"/>
                  <w:vAlign w:val="center"/>
                </w:tcPr>
                <w:p w14:paraId="7559A98C">
                  <w:pPr>
                    <w:widowControl/>
                    <w:jc w:val="left"/>
                    <w:rPr>
                      <w:snapToGrid w:val="0"/>
                      <w:color w:val="auto"/>
                      <w:kern w:val="0"/>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noWrap w:val="0"/>
                  <w:vAlign w:val="center"/>
                </w:tcPr>
                <w:p w14:paraId="647E68BF">
                  <w:pPr>
                    <w:widowControl/>
                    <w:jc w:val="left"/>
                    <w:rPr>
                      <w:snapToGrid w:val="0"/>
                      <w:color w:val="auto"/>
                      <w:kern w:val="0"/>
                      <w:szCs w:val="21"/>
                      <w:highlight w:val="none"/>
                    </w:rPr>
                  </w:pPr>
                </w:p>
              </w:tc>
              <w:tc>
                <w:tcPr>
                  <w:tcW w:w="757" w:type="pct"/>
                  <w:tcBorders>
                    <w:top w:val="single" w:color="auto" w:sz="4" w:space="0"/>
                    <w:left w:val="single" w:color="auto" w:sz="4" w:space="0"/>
                    <w:bottom w:val="single" w:color="auto" w:sz="4" w:space="0"/>
                    <w:right w:val="single" w:color="auto" w:sz="4" w:space="0"/>
                  </w:tcBorders>
                  <w:noWrap w:val="0"/>
                  <w:vAlign w:val="center"/>
                </w:tcPr>
                <w:p w14:paraId="25270EE6">
                  <w:pPr>
                    <w:spacing w:line="240" w:lineRule="exact"/>
                    <w:ind w:left="-62" w:leftChars="-30" w:hanging="1"/>
                    <w:jc w:val="center"/>
                    <w:rPr>
                      <w:color w:val="auto"/>
                      <w:kern w:val="0"/>
                      <w:szCs w:val="21"/>
                      <w:highlight w:val="none"/>
                    </w:rPr>
                  </w:pPr>
                  <w:r>
                    <w:rPr>
                      <w:color w:val="auto"/>
                      <w:kern w:val="0"/>
                      <w:szCs w:val="21"/>
                      <w:highlight w:val="none"/>
                    </w:rPr>
                    <w:t>经度</w:t>
                  </w:r>
                  <w:r>
                    <w:rPr>
                      <w:color w:val="auto"/>
                      <w:spacing w:val="-28"/>
                      <w:szCs w:val="21"/>
                      <w:highlight w:val="none"/>
                    </w:rPr>
                    <w:t>E</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0BB39BFC">
                  <w:pPr>
                    <w:spacing w:line="240" w:lineRule="exact"/>
                    <w:ind w:right="-82" w:rightChars="-39"/>
                    <w:jc w:val="center"/>
                    <w:rPr>
                      <w:color w:val="auto"/>
                      <w:kern w:val="0"/>
                      <w:szCs w:val="21"/>
                      <w:highlight w:val="none"/>
                    </w:rPr>
                  </w:pPr>
                  <w:r>
                    <w:rPr>
                      <w:color w:val="auto"/>
                      <w:kern w:val="0"/>
                      <w:szCs w:val="21"/>
                      <w:highlight w:val="none"/>
                    </w:rPr>
                    <w:t>纬度</w:t>
                  </w:r>
                  <w:r>
                    <w:rPr>
                      <w:color w:val="auto"/>
                      <w:spacing w:val="-28"/>
                      <w:szCs w:val="21"/>
                      <w:highlight w:val="none"/>
                    </w:rPr>
                    <w:t>N</w:t>
                  </w:r>
                </w:p>
              </w:tc>
              <w:tc>
                <w:tcPr>
                  <w:tcW w:w="345" w:type="pct"/>
                  <w:vMerge w:val="continue"/>
                  <w:tcBorders>
                    <w:top w:val="single" w:color="auto" w:sz="4" w:space="0"/>
                    <w:left w:val="single" w:color="auto" w:sz="4" w:space="0"/>
                    <w:bottom w:val="single" w:color="auto" w:sz="4" w:space="0"/>
                    <w:right w:val="single" w:color="auto" w:sz="4" w:space="0"/>
                  </w:tcBorders>
                  <w:noWrap w:val="0"/>
                  <w:vAlign w:val="center"/>
                </w:tcPr>
                <w:p w14:paraId="23AF534D">
                  <w:pPr>
                    <w:widowControl/>
                    <w:jc w:val="left"/>
                    <w:rPr>
                      <w:snapToGrid w:val="0"/>
                      <w:color w:val="auto"/>
                      <w:kern w:val="0"/>
                      <w:szCs w:val="21"/>
                      <w:highlight w:val="none"/>
                    </w:rPr>
                  </w:pPr>
                </w:p>
              </w:tc>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14:paraId="1A45A1A9">
                  <w:pPr>
                    <w:widowControl/>
                    <w:jc w:val="left"/>
                    <w:rPr>
                      <w:snapToGrid w:val="0"/>
                      <w:color w:val="auto"/>
                      <w:kern w:val="0"/>
                      <w:szCs w:val="21"/>
                      <w:highlight w:val="none"/>
                    </w:rPr>
                  </w:pPr>
                </w:p>
              </w:tc>
              <w:tc>
                <w:tcPr>
                  <w:tcW w:w="369" w:type="pct"/>
                  <w:vMerge w:val="continue"/>
                  <w:tcBorders>
                    <w:top w:val="single" w:color="auto" w:sz="4" w:space="0"/>
                    <w:left w:val="single" w:color="auto" w:sz="4" w:space="0"/>
                    <w:bottom w:val="single" w:color="auto" w:sz="4" w:space="0"/>
                    <w:right w:val="single" w:color="auto" w:sz="4" w:space="0"/>
                  </w:tcBorders>
                  <w:noWrap w:val="0"/>
                  <w:vAlign w:val="center"/>
                </w:tcPr>
                <w:p w14:paraId="227E7A1A">
                  <w:pPr>
                    <w:widowControl/>
                    <w:jc w:val="left"/>
                    <w:rPr>
                      <w:snapToGrid w:val="0"/>
                      <w:color w:val="auto"/>
                      <w:kern w:val="0"/>
                      <w:szCs w:val="21"/>
                      <w:highlight w:val="none"/>
                    </w:rPr>
                  </w:pPr>
                </w:p>
              </w:tc>
              <w:tc>
                <w:tcPr>
                  <w:tcW w:w="398" w:type="pct"/>
                  <w:vMerge w:val="continue"/>
                  <w:tcBorders>
                    <w:top w:val="single" w:color="auto" w:sz="4" w:space="0"/>
                    <w:left w:val="single" w:color="auto" w:sz="4" w:space="0"/>
                    <w:bottom w:val="single" w:color="auto" w:sz="4" w:space="0"/>
                    <w:right w:val="single" w:color="auto" w:sz="4" w:space="0"/>
                  </w:tcBorders>
                  <w:noWrap w:val="0"/>
                  <w:vAlign w:val="center"/>
                </w:tcPr>
                <w:p w14:paraId="3D50E8B6">
                  <w:pPr>
                    <w:widowControl/>
                    <w:jc w:val="left"/>
                    <w:rPr>
                      <w:snapToGrid w:val="0"/>
                      <w:color w:val="auto"/>
                      <w:kern w:val="0"/>
                      <w:szCs w:val="21"/>
                      <w:highlight w:val="none"/>
                    </w:rPr>
                  </w:pPr>
                </w:p>
              </w:tc>
              <w:tc>
                <w:tcPr>
                  <w:tcW w:w="398" w:type="pct"/>
                  <w:vMerge w:val="continue"/>
                  <w:tcBorders>
                    <w:top w:val="single" w:color="auto" w:sz="4" w:space="0"/>
                    <w:left w:val="single" w:color="auto" w:sz="4" w:space="0"/>
                    <w:bottom w:val="single" w:color="auto" w:sz="4" w:space="0"/>
                    <w:right w:val="single" w:color="auto" w:sz="4" w:space="0"/>
                  </w:tcBorders>
                  <w:noWrap w:val="0"/>
                  <w:vAlign w:val="center"/>
                </w:tcPr>
                <w:p w14:paraId="76062140">
                  <w:pPr>
                    <w:widowControl/>
                    <w:jc w:val="left"/>
                    <w:rPr>
                      <w:snapToGrid w:val="0"/>
                      <w:color w:val="auto"/>
                      <w:kern w:val="0"/>
                      <w:szCs w:val="21"/>
                      <w:highlight w:val="none"/>
                    </w:rPr>
                  </w:pPr>
                </w:p>
              </w:tc>
              <w:tc>
                <w:tcPr>
                  <w:tcW w:w="391" w:type="pct"/>
                  <w:vMerge w:val="continue"/>
                  <w:tcBorders>
                    <w:top w:val="single" w:color="auto" w:sz="4" w:space="0"/>
                    <w:left w:val="single" w:color="auto" w:sz="4" w:space="0"/>
                    <w:bottom w:val="single" w:color="auto" w:sz="4" w:space="0"/>
                    <w:right w:val="single" w:color="auto" w:sz="4" w:space="0"/>
                  </w:tcBorders>
                  <w:noWrap w:val="0"/>
                  <w:vAlign w:val="center"/>
                </w:tcPr>
                <w:p w14:paraId="378E444D">
                  <w:pPr>
                    <w:widowControl/>
                    <w:jc w:val="left"/>
                    <w:rPr>
                      <w:snapToGrid w:val="0"/>
                      <w:color w:val="auto"/>
                      <w:kern w:val="0"/>
                      <w:szCs w:val="21"/>
                      <w:highlight w:val="none"/>
                    </w:rPr>
                  </w:pPr>
                </w:p>
              </w:tc>
              <w:tc>
                <w:tcPr>
                  <w:tcW w:w="320" w:type="pct"/>
                  <w:vMerge w:val="continue"/>
                  <w:tcBorders>
                    <w:top w:val="single" w:color="auto" w:sz="4" w:space="0"/>
                    <w:left w:val="single" w:color="auto" w:sz="4" w:space="0"/>
                    <w:bottom w:val="single" w:color="auto" w:sz="4" w:space="0"/>
                    <w:right w:val="single" w:color="auto" w:sz="4" w:space="0"/>
                  </w:tcBorders>
                  <w:noWrap w:val="0"/>
                  <w:vAlign w:val="center"/>
                </w:tcPr>
                <w:p w14:paraId="371C20DF">
                  <w:pPr>
                    <w:widowControl/>
                    <w:jc w:val="left"/>
                    <w:rPr>
                      <w:snapToGrid w:val="0"/>
                      <w:color w:val="auto"/>
                      <w:kern w:val="0"/>
                      <w:szCs w:val="21"/>
                      <w:highlight w:val="none"/>
                    </w:rPr>
                  </w:pPr>
                </w:p>
              </w:tc>
            </w:tr>
            <w:tr w14:paraId="51C7703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0BB4239C">
                  <w:pPr>
                    <w:widowControl/>
                    <w:spacing w:line="240" w:lineRule="exact"/>
                    <w:ind w:left="-187" w:leftChars="-89" w:right="-158" w:rightChars="-75"/>
                    <w:jc w:val="center"/>
                    <w:rPr>
                      <w:snapToGrid w:val="0"/>
                      <w:color w:val="auto"/>
                      <w:kern w:val="0"/>
                      <w:szCs w:val="21"/>
                      <w:highlight w:val="none"/>
                    </w:rPr>
                  </w:pPr>
                  <w:r>
                    <w:rPr>
                      <w:snapToGrid w:val="0"/>
                      <w:color w:val="auto"/>
                      <w:kern w:val="0"/>
                      <w:szCs w:val="21"/>
                      <w:highlight w:val="none"/>
                    </w:rPr>
                    <w:t>单位</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249A505E">
                  <w:pPr>
                    <w:widowControl/>
                    <w:spacing w:line="240" w:lineRule="exact"/>
                    <w:jc w:val="center"/>
                    <w:rPr>
                      <w:snapToGrid w:val="0"/>
                      <w:color w:val="auto"/>
                      <w:kern w:val="0"/>
                      <w:szCs w:val="21"/>
                      <w:highlight w:val="none"/>
                    </w:rPr>
                  </w:pPr>
                  <w:r>
                    <w:rPr>
                      <w:snapToGrid w:val="0"/>
                      <w:color w:val="auto"/>
                      <w:kern w:val="0"/>
                      <w:szCs w:val="21"/>
                      <w:highlight w:val="none"/>
                    </w:rPr>
                    <w:t>/</w:t>
                  </w:r>
                </w:p>
              </w:tc>
              <w:tc>
                <w:tcPr>
                  <w:tcW w:w="757" w:type="pct"/>
                  <w:tcBorders>
                    <w:top w:val="single" w:color="auto" w:sz="4" w:space="0"/>
                    <w:left w:val="single" w:color="auto" w:sz="4" w:space="0"/>
                    <w:bottom w:val="single" w:color="auto" w:sz="4" w:space="0"/>
                    <w:right w:val="single" w:color="auto" w:sz="4" w:space="0"/>
                  </w:tcBorders>
                  <w:noWrap w:val="0"/>
                  <w:vAlign w:val="center"/>
                </w:tcPr>
                <w:p w14:paraId="24BD6EE4">
                  <w:pPr>
                    <w:widowControl/>
                    <w:spacing w:line="240" w:lineRule="exact"/>
                    <w:jc w:val="center"/>
                    <w:rPr>
                      <w:snapToGrid w:val="0"/>
                      <w:color w:val="auto"/>
                      <w:kern w:val="0"/>
                      <w:szCs w:val="21"/>
                      <w:highlight w:val="none"/>
                    </w:rPr>
                  </w:pPr>
                  <w:r>
                    <w:rPr>
                      <w:color w:val="auto"/>
                      <w:spacing w:val="-28"/>
                      <w:szCs w:val="21"/>
                      <w:highlight w:val="none"/>
                    </w:rPr>
                    <w:t>°</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22560F1F">
                  <w:pPr>
                    <w:widowControl/>
                    <w:spacing w:line="240" w:lineRule="exact"/>
                    <w:jc w:val="center"/>
                    <w:rPr>
                      <w:snapToGrid w:val="0"/>
                      <w:color w:val="auto"/>
                      <w:kern w:val="0"/>
                      <w:szCs w:val="21"/>
                      <w:highlight w:val="none"/>
                    </w:rPr>
                  </w:pPr>
                  <w:r>
                    <w:rPr>
                      <w:color w:val="auto"/>
                      <w:spacing w:val="-28"/>
                      <w:szCs w:val="21"/>
                      <w:highlight w:val="none"/>
                    </w:rPr>
                    <w:t>°</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20BCEE64">
                  <w:pPr>
                    <w:widowControl/>
                    <w:spacing w:line="240" w:lineRule="exact"/>
                    <w:jc w:val="center"/>
                    <w:rPr>
                      <w:snapToGrid w:val="0"/>
                      <w:color w:val="auto"/>
                      <w:kern w:val="0"/>
                      <w:szCs w:val="21"/>
                      <w:highlight w:val="none"/>
                    </w:rPr>
                  </w:pPr>
                  <w:r>
                    <w:rPr>
                      <w:snapToGrid w:val="0"/>
                      <w:color w:val="auto"/>
                      <w:kern w:val="0"/>
                      <w:szCs w:val="21"/>
                      <w:highlight w:val="none"/>
                    </w:rPr>
                    <w:t>m</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47C0B36D">
                  <w:pPr>
                    <w:widowControl/>
                    <w:spacing w:line="240" w:lineRule="exact"/>
                    <w:jc w:val="center"/>
                    <w:rPr>
                      <w:snapToGrid w:val="0"/>
                      <w:color w:val="auto"/>
                      <w:kern w:val="0"/>
                      <w:szCs w:val="21"/>
                      <w:highlight w:val="none"/>
                    </w:rPr>
                  </w:pPr>
                  <w:r>
                    <w:rPr>
                      <w:snapToGrid w:val="0"/>
                      <w:color w:val="auto"/>
                      <w:kern w:val="0"/>
                      <w:szCs w:val="21"/>
                      <w:highlight w:val="none"/>
                    </w:rPr>
                    <w:t>M</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2E796665">
                  <w:pPr>
                    <w:widowControl/>
                    <w:spacing w:line="240" w:lineRule="exact"/>
                    <w:jc w:val="center"/>
                    <w:rPr>
                      <w:snapToGrid w:val="0"/>
                      <w:color w:val="auto"/>
                      <w:kern w:val="0"/>
                      <w:szCs w:val="21"/>
                      <w:highlight w:val="none"/>
                    </w:rPr>
                  </w:pPr>
                  <w:r>
                    <w:rPr>
                      <w:snapToGrid w:val="0"/>
                      <w:color w:val="auto"/>
                      <w:kern w:val="0"/>
                      <w:szCs w:val="21"/>
                      <w:highlight w:val="none"/>
                    </w:rPr>
                    <w:t>m</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4ABCCF73">
                  <w:pPr>
                    <w:widowControl/>
                    <w:spacing w:line="240" w:lineRule="exact"/>
                    <w:jc w:val="center"/>
                    <w:rPr>
                      <w:snapToGrid w:val="0"/>
                      <w:color w:val="auto"/>
                      <w:kern w:val="0"/>
                      <w:szCs w:val="21"/>
                      <w:highlight w:val="none"/>
                    </w:rPr>
                  </w:pPr>
                  <w:r>
                    <w:rPr>
                      <w:snapToGrid w:val="0"/>
                      <w:color w:val="auto"/>
                      <w:kern w:val="0"/>
                      <w:szCs w:val="21"/>
                      <w:highlight w:val="none"/>
                    </w:rPr>
                    <w:t>m/s</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23247B8E">
                  <w:pPr>
                    <w:widowControl/>
                    <w:spacing w:line="240" w:lineRule="exact"/>
                    <w:jc w:val="center"/>
                    <w:rPr>
                      <w:snapToGrid w:val="0"/>
                      <w:color w:val="auto"/>
                      <w:kern w:val="0"/>
                      <w:szCs w:val="21"/>
                      <w:highlight w:val="none"/>
                    </w:rPr>
                  </w:pPr>
                  <w:r>
                    <w:rPr>
                      <w:snapToGrid w:val="0"/>
                      <w:color w:val="auto"/>
                      <w:kern w:val="0"/>
                      <w:szCs w:val="21"/>
                      <w:highlight w:val="none"/>
                    </w:rPr>
                    <w:t>℃</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286D1F79">
                  <w:pPr>
                    <w:widowControl/>
                    <w:spacing w:line="240" w:lineRule="exact"/>
                    <w:jc w:val="center"/>
                    <w:rPr>
                      <w:snapToGrid w:val="0"/>
                      <w:color w:val="auto"/>
                      <w:kern w:val="0"/>
                      <w:szCs w:val="21"/>
                      <w:highlight w:val="none"/>
                    </w:rPr>
                  </w:pPr>
                  <w:r>
                    <w:rPr>
                      <w:snapToGrid w:val="0"/>
                      <w:color w:val="auto"/>
                      <w:kern w:val="0"/>
                      <w:szCs w:val="21"/>
                      <w:highlight w:val="none"/>
                    </w:rPr>
                    <w:t>h</w:t>
                  </w:r>
                </w:p>
              </w:tc>
              <w:tc>
                <w:tcPr>
                  <w:tcW w:w="320" w:type="pct"/>
                  <w:tcBorders>
                    <w:top w:val="single" w:color="auto" w:sz="4" w:space="0"/>
                    <w:left w:val="single" w:color="auto" w:sz="4" w:space="0"/>
                    <w:bottom w:val="single" w:color="auto" w:sz="4" w:space="0"/>
                    <w:right w:val="single" w:color="auto" w:sz="4" w:space="0"/>
                  </w:tcBorders>
                  <w:noWrap w:val="0"/>
                  <w:vAlign w:val="center"/>
                </w:tcPr>
                <w:p w14:paraId="25D06B9A">
                  <w:pPr>
                    <w:widowControl/>
                    <w:ind w:left="-105" w:leftChars="-50" w:right="-105" w:rightChars="-50"/>
                    <w:jc w:val="center"/>
                    <w:rPr>
                      <w:snapToGrid w:val="0"/>
                      <w:color w:val="auto"/>
                      <w:kern w:val="0"/>
                      <w:szCs w:val="21"/>
                      <w:highlight w:val="none"/>
                    </w:rPr>
                  </w:pPr>
                  <w:r>
                    <w:rPr>
                      <w:snapToGrid w:val="0"/>
                      <w:color w:val="auto"/>
                      <w:kern w:val="0"/>
                      <w:szCs w:val="21"/>
                      <w:highlight w:val="none"/>
                    </w:rPr>
                    <w:t>/</w:t>
                  </w:r>
                </w:p>
              </w:tc>
            </w:tr>
            <w:tr w14:paraId="55976E68">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369" w:hRule="atLeast"/>
                <w:jc w:val="center"/>
              </w:trPr>
              <w:tc>
                <w:tcPr>
                  <w:tcW w:w="485" w:type="pct"/>
                  <w:tcBorders>
                    <w:top w:val="single" w:color="auto" w:sz="4" w:space="0"/>
                    <w:left w:val="single" w:color="auto" w:sz="4" w:space="0"/>
                    <w:bottom w:val="single" w:color="auto" w:sz="4" w:space="0"/>
                    <w:right w:val="single" w:color="auto" w:sz="4" w:space="0"/>
                  </w:tcBorders>
                  <w:noWrap w:val="0"/>
                  <w:vAlign w:val="center"/>
                </w:tcPr>
                <w:p w14:paraId="15EF9282">
                  <w:pPr>
                    <w:ind w:left="-241" w:leftChars="-115" w:right="-105" w:rightChars="-50" w:firstLine="88" w:firstLineChars="42"/>
                    <w:jc w:val="center"/>
                    <w:rPr>
                      <w:snapToGrid w:val="0"/>
                      <w:color w:val="auto"/>
                      <w:kern w:val="0"/>
                      <w:szCs w:val="21"/>
                      <w:highlight w:val="none"/>
                    </w:rPr>
                  </w:pPr>
                  <w:r>
                    <w:rPr>
                      <w:rFonts w:hint="eastAsia"/>
                      <w:snapToGrid w:val="0"/>
                      <w:color w:val="auto"/>
                      <w:kern w:val="0"/>
                      <w:szCs w:val="21"/>
                      <w:highlight w:val="none"/>
                    </w:rPr>
                    <w:t>DA001</w:t>
                  </w:r>
                </w:p>
              </w:tc>
              <w:tc>
                <w:tcPr>
                  <w:tcW w:w="470" w:type="pct"/>
                  <w:tcBorders>
                    <w:top w:val="single" w:color="auto" w:sz="8" w:space="0"/>
                    <w:left w:val="single" w:color="auto" w:sz="4" w:space="0"/>
                    <w:bottom w:val="single" w:color="auto" w:sz="8" w:space="0"/>
                    <w:right w:val="single" w:color="auto" w:sz="4" w:space="0"/>
                  </w:tcBorders>
                  <w:noWrap w:val="0"/>
                  <w:vAlign w:val="center"/>
                </w:tcPr>
                <w:p w14:paraId="52C0DAB0">
                  <w:pPr>
                    <w:widowControl/>
                    <w:spacing w:line="240" w:lineRule="exact"/>
                    <w:ind w:left="-57" w:leftChars="-27" w:right="-69" w:rightChars="-33"/>
                    <w:jc w:val="center"/>
                    <w:rPr>
                      <w:snapToGrid w:val="0"/>
                      <w:color w:val="auto"/>
                      <w:kern w:val="0"/>
                      <w:szCs w:val="21"/>
                      <w:highlight w:val="none"/>
                    </w:rPr>
                  </w:pPr>
                  <w:r>
                    <w:rPr>
                      <w:snapToGrid w:val="0"/>
                      <w:color w:val="auto"/>
                      <w:kern w:val="0"/>
                      <w:szCs w:val="21"/>
                      <w:highlight w:val="none"/>
                    </w:rPr>
                    <w:t>排气筒</w:t>
                  </w:r>
                </w:p>
              </w:tc>
              <w:tc>
                <w:tcPr>
                  <w:tcW w:w="757" w:type="pct"/>
                  <w:tcBorders>
                    <w:top w:val="single" w:color="auto" w:sz="4" w:space="0"/>
                    <w:left w:val="single" w:color="auto" w:sz="4" w:space="0"/>
                    <w:bottom w:val="single" w:color="auto" w:sz="4" w:space="0"/>
                    <w:right w:val="single" w:color="auto" w:sz="4" w:space="0"/>
                  </w:tcBorders>
                  <w:noWrap w:val="0"/>
                  <w:vAlign w:val="top"/>
                </w:tcPr>
                <w:p w14:paraId="47538133">
                  <w:pPr>
                    <w:rPr>
                      <w:color w:val="auto"/>
                      <w:highlight w:val="none"/>
                    </w:rPr>
                  </w:pPr>
                  <w:r>
                    <w:rPr>
                      <w:color w:val="auto"/>
                      <w:highlight w:val="none"/>
                    </w:rPr>
                    <w:t>117.46755838</w:t>
                  </w:r>
                </w:p>
              </w:tc>
              <w:tc>
                <w:tcPr>
                  <w:tcW w:w="696" w:type="pct"/>
                  <w:tcBorders>
                    <w:top w:val="single" w:color="auto" w:sz="4" w:space="0"/>
                    <w:left w:val="single" w:color="auto" w:sz="4" w:space="0"/>
                    <w:bottom w:val="single" w:color="auto" w:sz="4" w:space="0"/>
                    <w:right w:val="single" w:color="auto" w:sz="4" w:space="0"/>
                  </w:tcBorders>
                  <w:noWrap w:val="0"/>
                  <w:vAlign w:val="top"/>
                </w:tcPr>
                <w:p w14:paraId="64E4A9AE">
                  <w:pPr>
                    <w:jc w:val="center"/>
                    <w:rPr>
                      <w:color w:val="auto"/>
                      <w:highlight w:val="none"/>
                    </w:rPr>
                  </w:pPr>
                  <w:r>
                    <w:rPr>
                      <w:color w:val="auto"/>
                      <w:highlight w:val="none"/>
                    </w:rPr>
                    <w:t>32.91416615</w:t>
                  </w:r>
                </w:p>
              </w:tc>
              <w:tc>
                <w:tcPr>
                  <w:tcW w:w="345" w:type="pct"/>
                  <w:tcBorders>
                    <w:top w:val="single" w:color="auto" w:sz="4" w:space="0"/>
                    <w:left w:val="single" w:color="auto" w:sz="4" w:space="0"/>
                    <w:bottom w:val="single" w:color="auto" w:sz="4" w:space="0"/>
                    <w:right w:val="single" w:color="auto" w:sz="4" w:space="0"/>
                  </w:tcBorders>
                  <w:noWrap w:val="0"/>
                  <w:vAlign w:val="center"/>
                </w:tcPr>
                <w:p w14:paraId="69ADE1F3">
                  <w:pPr>
                    <w:widowControl/>
                    <w:spacing w:line="240" w:lineRule="exact"/>
                    <w:jc w:val="center"/>
                    <w:rPr>
                      <w:snapToGrid w:val="0"/>
                      <w:color w:val="auto"/>
                      <w:kern w:val="0"/>
                      <w:szCs w:val="21"/>
                      <w:highlight w:val="none"/>
                    </w:rPr>
                  </w:pPr>
                  <w:r>
                    <w:rPr>
                      <w:snapToGrid w:val="0"/>
                      <w:color w:val="auto"/>
                      <w:kern w:val="0"/>
                      <w:szCs w:val="21"/>
                      <w:highlight w:val="none"/>
                    </w:rPr>
                    <w:t>0</w:t>
                  </w:r>
                </w:p>
              </w:tc>
              <w:tc>
                <w:tcPr>
                  <w:tcW w:w="370" w:type="pct"/>
                  <w:tcBorders>
                    <w:top w:val="single" w:color="auto" w:sz="4" w:space="0"/>
                    <w:left w:val="single" w:color="auto" w:sz="4" w:space="0"/>
                    <w:bottom w:val="single" w:color="auto" w:sz="4" w:space="0"/>
                    <w:right w:val="single" w:color="auto" w:sz="4" w:space="0"/>
                  </w:tcBorders>
                  <w:noWrap w:val="0"/>
                  <w:vAlign w:val="center"/>
                </w:tcPr>
                <w:p w14:paraId="6C234DCA">
                  <w:pPr>
                    <w:widowControl/>
                    <w:spacing w:line="240" w:lineRule="exact"/>
                    <w:jc w:val="center"/>
                    <w:rPr>
                      <w:snapToGrid w:val="0"/>
                      <w:color w:val="auto"/>
                      <w:kern w:val="0"/>
                      <w:szCs w:val="21"/>
                      <w:highlight w:val="none"/>
                    </w:rPr>
                  </w:pPr>
                  <w:r>
                    <w:rPr>
                      <w:snapToGrid w:val="0"/>
                      <w:color w:val="auto"/>
                      <w:kern w:val="0"/>
                      <w:szCs w:val="21"/>
                      <w:highlight w:val="none"/>
                    </w:rPr>
                    <w:t>15</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4D747BD7">
                  <w:pPr>
                    <w:jc w:val="center"/>
                    <w:rPr>
                      <w:color w:val="auto"/>
                      <w:kern w:val="0"/>
                      <w:szCs w:val="21"/>
                      <w:highlight w:val="none"/>
                    </w:rPr>
                  </w:pPr>
                  <w:r>
                    <w:rPr>
                      <w:color w:val="auto"/>
                      <w:szCs w:val="21"/>
                      <w:highlight w:val="none"/>
                    </w:rPr>
                    <w:t>0.45</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71EEA2F7">
                  <w:pPr>
                    <w:jc w:val="center"/>
                    <w:rPr>
                      <w:color w:val="auto"/>
                      <w:szCs w:val="21"/>
                      <w:highlight w:val="none"/>
                    </w:rPr>
                  </w:pPr>
                  <w:r>
                    <w:rPr>
                      <w:color w:val="auto"/>
                      <w:szCs w:val="21"/>
                      <w:highlight w:val="none"/>
                    </w:rPr>
                    <w:t>19.06</w:t>
                  </w:r>
                </w:p>
              </w:tc>
              <w:tc>
                <w:tcPr>
                  <w:tcW w:w="398" w:type="pct"/>
                  <w:tcBorders>
                    <w:top w:val="single" w:color="auto" w:sz="4" w:space="0"/>
                    <w:left w:val="single" w:color="auto" w:sz="4" w:space="0"/>
                    <w:bottom w:val="single" w:color="auto" w:sz="4" w:space="0"/>
                    <w:right w:val="single" w:color="auto" w:sz="4" w:space="0"/>
                  </w:tcBorders>
                  <w:noWrap w:val="0"/>
                  <w:vAlign w:val="center"/>
                </w:tcPr>
                <w:p w14:paraId="482E79E6">
                  <w:pPr>
                    <w:widowControl/>
                    <w:spacing w:line="240" w:lineRule="exact"/>
                    <w:jc w:val="center"/>
                    <w:rPr>
                      <w:snapToGrid w:val="0"/>
                      <w:color w:val="auto"/>
                      <w:kern w:val="0"/>
                      <w:szCs w:val="21"/>
                      <w:highlight w:val="none"/>
                    </w:rPr>
                  </w:pPr>
                  <w:r>
                    <w:rPr>
                      <w:snapToGrid w:val="0"/>
                      <w:color w:val="auto"/>
                      <w:kern w:val="0"/>
                      <w:szCs w:val="21"/>
                      <w:highlight w:val="none"/>
                    </w:rPr>
                    <w:t>25</w:t>
                  </w:r>
                </w:p>
              </w:tc>
              <w:tc>
                <w:tcPr>
                  <w:tcW w:w="391" w:type="pct"/>
                  <w:tcBorders>
                    <w:top w:val="single" w:color="auto" w:sz="4" w:space="0"/>
                    <w:left w:val="single" w:color="auto" w:sz="4" w:space="0"/>
                    <w:bottom w:val="single" w:color="auto" w:sz="4" w:space="0"/>
                    <w:right w:val="single" w:color="auto" w:sz="4" w:space="0"/>
                  </w:tcBorders>
                  <w:noWrap w:val="0"/>
                  <w:vAlign w:val="center"/>
                </w:tcPr>
                <w:p w14:paraId="08985D6D">
                  <w:pPr>
                    <w:jc w:val="center"/>
                    <w:rPr>
                      <w:color w:val="auto"/>
                      <w:kern w:val="0"/>
                      <w:szCs w:val="21"/>
                      <w:highlight w:val="none"/>
                    </w:rPr>
                  </w:pPr>
                  <w:r>
                    <w:rPr>
                      <w:color w:val="auto"/>
                      <w:szCs w:val="21"/>
                      <w:highlight w:val="none"/>
                    </w:rPr>
                    <w:t>295</w:t>
                  </w:r>
                </w:p>
              </w:tc>
              <w:tc>
                <w:tcPr>
                  <w:tcW w:w="320" w:type="pct"/>
                  <w:tcBorders>
                    <w:top w:val="single" w:color="auto" w:sz="4" w:space="0"/>
                    <w:left w:val="single" w:color="auto" w:sz="4" w:space="0"/>
                    <w:bottom w:val="single" w:color="auto" w:sz="4" w:space="0"/>
                    <w:right w:val="single" w:color="auto" w:sz="4" w:space="0"/>
                  </w:tcBorders>
                  <w:noWrap w:val="0"/>
                  <w:vAlign w:val="center"/>
                </w:tcPr>
                <w:p w14:paraId="673EF9FE">
                  <w:pPr>
                    <w:widowControl/>
                    <w:ind w:left="-105" w:leftChars="-50" w:right="-105" w:rightChars="-50"/>
                    <w:jc w:val="center"/>
                    <w:rPr>
                      <w:snapToGrid w:val="0"/>
                      <w:color w:val="auto"/>
                      <w:kern w:val="0"/>
                      <w:szCs w:val="21"/>
                      <w:highlight w:val="none"/>
                    </w:rPr>
                  </w:pPr>
                  <w:r>
                    <w:rPr>
                      <w:snapToGrid w:val="0"/>
                      <w:color w:val="auto"/>
                      <w:kern w:val="0"/>
                      <w:szCs w:val="21"/>
                      <w:highlight w:val="none"/>
                    </w:rPr>
                    <w:t>正常</w:t>
                  </w:r>
                </w:p>
              </w:tc>
            </w:tr>
          </w:tbl>
          <w:p w14:paraId="51DDA293">
            <w:pPr>
              <w:tabs>
                <w:tab w:val="left" w:pos="1620"/>
              </w:tabs>
              <w:adjustRightInd w:val="0"/>
              <w:snapToGrid w:val="0"/>
              <w:spacing w:line="500" w:lineRule="atLeast"/>
              <w:ind w:firstLine="482" w:firstLineChars="200"/>
              <w:jc w:val="left"/>
              <w:rPr>
                <w:b/>
                <w:snapToGrid w:val="0"/>
                <w:color w:val="auto"/>
                <w:kern w:val="0"/>
                <w:sz w:val="24"/>
                <w:highlight w:val="none"/>
              </w:rPr>
            </w:pPr>
            <w:r>
              <w:rPr>
                <w:rFonts w:hint="eastAsia"/>
                <w:b/>
                <w:snapToGrid w:val="0"/>
                <w:color w:val="auto"/>
                <w:kern w:val="0"/>
                <w:sz w:val="24"/>
                <w:highlight w:val="none"/>
              </w:rPr>
              <w:t>无组织废气产生及排放情况：</w:t>
            </w:r>
          </w:p>
          <w:p w14:paraId="6B088EEF">
            <w:pPr>
              <w:tabs>
                <w:tab w:val="left" w:pos="1620"/>
              </w:tabs>
              <w:adjustRightInd w:val="0"/>
              <w:snapToGrid w:val="0"/>
              <w:spacing w:line="500" w:lineRule="atLeast"/>
              <w:ind w:firstLine="482" w:firstLineChars="200"/>
              <w:jc w:val="center"/>
              <w:rPr>
                <w:b/>
                <w:snapToGrid w:val="0"/>
                <w:color w:val="auto"/>
                <w:kern w:val="0"/>
                <w:sz w:val="24"/>
                <w:highlight w:val="none"/>
              </w:rPr>
            </w:pPr>
            <w:r>
              <w:rPr>
                <w:rFonts w:hint="eastAsia"/>
                <w:b/>
                <w:snapToGrid w:val="0"/>
                <w:color w:val="auto"/>
                <w:kern w:val="0"/>
                <w:sz w:val="24"/>
                <w:highlight w:val="none"/>
              </w:rPr>
              <w:t>表</w:t>
            </w:r>
            <w:r>
              <w:rPr>
                <w:b/>
                <w:snapToGrid w:val="0"/>
                <w:color w:val="auto"/>
                <w:kern w:val="0"/>
                <w:sz w:val="24"/>
                <w:highlight w:val="none"/>
              </w:rPr>
              <w:t xml:space="preserve">3  </w:t>
            </w:r>
            <w:r>
              <w:rPr>
                <w:rFonts w:hint="eastAsia"/>
                <w:b/>
                <w:snapToGrid w:val="0"/>
                <w:color w:val="auto"/>
                <w:kern w:val="0"/>
                <w:sz w:val="24"/>
                <w:highlight w:val="none"/>
              </w:rPr>
              <w:t>本项目无组织废气排放情况一览表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987"/>
              <w:gridCol w:w="1584"/>
              <w:gridCol w:w="1804"/>
              <w:gridCol w:w="1715"/>
              <w:gridCol w:w="1093"/>
            </w:tblGrid>
            <w:tr w14:paraId="5858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pct"/>
                  <w:tcBorders>
                    <w:top w:val="single" w:color="auto" w:sz="4" w:space="0"/>
                    <w:left w:val="single" w:color="auto" w:sz="4" w:space="0"/>
                    <w:bottom w:val="single" w:color="auto" w:sz="4" w:space="0"/>
                    <w:right w:val="single" w:color="auto" w:sz="4" w:space="0"/>
                  </w:tcBorders>
                  <w:noWrap w:val="0"/>
                  <w:vAlign w:val="center"/>
                </w:tcPr>
                <w:p w14:paraId="57277F7F">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snapToGrid w:val="0"/>
                      <w:color w:val="auto"/>
                      <w:kern w:val="0"/>
                      <w:szCs w:val="21"/>
                      <w:highlight w:val="none"/>
                    </w:rPr>
                    <w:t>污染源位置</w:t>
                  </w:r>
                </w:p>
              </w:tc>
              <w:tc>
                <w:tcPr>
                  <w:tcW w:w="1049" w:type="pct"/>
                  <w:tcBorders>
                    <w:top w:val="single" w:color="auto" w:sz="4" w:space="0"/>
                    <w:left w:val="single" w:color="auto" w:sz="4" w:space="0"/>
                    <w:bottom w:val="single" w:color="auto" w:sz="4" w:space="0"/>
                    <w:right w:val="single" w:color="auto" w:sz="4" w:space="0"/>
                  </w:tcBorders>
                  <w:noWrap w:val="0"/>
                  <w:vAlign w:val="center"/>
                </w:tcPr>
                <w:p w14:paraId="59396785">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snapToGrid w:val="0"/>
                      <w:color w:val="auto"/>
                      <w:kern w:val="0"/>
                      <w:szCs w:val="21"/>
                      <w:highlight w:val="none"/>
                    </w:rPr>
                    <w:t>污染物</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61EFCB50">
                  <w:pPr>
                    <w:adjustRightInd w:val="0"/>
                    <w:snapToGrid w:val="0"/>
                    <w:ind w:left="-105" w:leftChars="-50" w:right="-105" w:rightChars="-50"/>
                    <w:jc w:val="center"/>
                    <w:rPr>
                      <w:snapToGrid w:val="0"/>
                      <w:color w:val="auto"/>
                      <w:kern w:val="0"/>
                      <w:szCs w:val="21"/>
                      <w:highlight w:val="none"/>
                    </w:rPr>
                  </w:pPr>
                  <w:r>
                    <w:rPr>
                      <w:rFonts w:hint="eastAsia"/>
                      <w:snapToGrid w:val="0"/>
                      <w:color w:val="auto"/>
                      <w:kern w:val="0"/>
                      <w:szCs w:val="21"/>
                      <w:highlight w:val="none"/>
                    </w:rPr>
                    <w:t>排放量（</w:t>
                  </w:r>
                  <w:r>
                    <w:rPr>
                      <w:snapToGrid w:val="0"/>
                      <w:color w:val="auto"/>
                      <w:kern w:val="0"/>
                      <w:szCs w:val="21"/>
                      <w:highlight w:val="none"/>
                    </w:rPr>
                    <w:t>t/a</w:t>
                  </w:r>
                  <w:r>
                    <w:rPr>
                      <w:rFonts w:hint="eastAsia"/>
                      <w:snapToGrid w:val="0"/>
                      <w:color w:val="auto"/>
                      <w:kern w:val="0"/>
                      <w:szCs w:val="21"/>
                      <w:highlight w:val="none"/>
                    </w:rPr>
                    <w:t>）</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278C6733">
                  <w:pPr>
                    <w:adjustRightInd w:val="0"/>
                    <w:snapToGrid w:val="0"/>
                    <w:ind w:left="-105" w:leftChars="-50" w:right="-105" w:rightChars="-50"/>
                    <w:jc w:val="center"/>
                    <w:rPr>
                      <w:snapToGrid w:val="0"/>
                      <w:color w:val="auto"/>
                      <w:kern w:val="0"/>
                      <w:szCs w:val="21"/>
                      <w:highlight w:val="none"/>
                    </w:rPr>
                  </w:pPr>
                  <w:r>
                    <w:rPr>
                      <w:rFonts w:hint="eastAsia"/>
                      <w:snapToGrid w:val="0"/>
                      <w:color w:val="auto"/>
                      <w:kern w:val="0"/>
                      <w:szCs w:val="21"/>
                      <w:highlight w:val="none"/>
                    </w:rPr>
                    <w:t>排放速率（</w:t>
                  </w:r>
                  <w:r>
                    <w:rPr>
                      <w:snapToGrid w:val="0"/>
                      <w:color w:val="auto"/>
                      <w:kern w:val="0"/>
                      <w:szCs w:val="21"/>
                      <w:highlight w:val="none"/>
                    </w:rPr>
                    <w:t>kg/h</w:t>
                  </w:r>
                  <w:r>
                    <w:rPr>
                      <w:rFonts w:hint="eastAsia"/>
                      <w:snapToGrid w:val="0"/>
                      <w:color w:val="auto"/>
                      <w:kern w:val="0"/>
                      <w:szCs w:val="21"/>
                      <w:highlight w:val="none"/>
                    </w:rPr>
                    <w:t>）</w:t>
                  </w:r>
                </w:p>
              </w:tc>
              <w:tc>
                <w:tcPr>
                  <w:tcW w:w="905" w:type="pct"/>
                  <w:tcBorders>
                    <w:top w:val="single" w:color="auto" w:sz="4" w:space="0"/>
                    <w:left w:val="single" w:color="auto" w:sz="4" w:space="0"/>
                    <w:bottom w:val="single" w:color="auto" w:sz="4" w:space="0"/>
                    <w:right w:val="single" w:color="auto" w:sz="4" w:space="0"/>
                  </w:tcBorders>
                  <w:noWrap w:val="0"/>
                  <w:vAlign w:val="center"/>
                </w:tcPr>
                <w:p w14:paraId="30A50DE0">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snapToGrid w:val="0"/>
                      <w:color w:val="auto"/>
                      <w:kern w:val="0"/>
                      <w:szCs w:val="21"/>
                      <w:highlight w:val="none"/>
                    </w:rPr>
                    <w:t>面源高度（</w:t>
                  </w:r>
                  <w:r>
                    <w:rPr>
                      <w:snapToGrid w:val="0"/>
                      <w:color w:val="auto"/>
                      <w:kern w:val="0"/>
                      <w:szCs w:val="21"/>
                      <w:highlight w:val="none"/>
                    </w:rPr>
                    <w:t>m</w:t>
                  </w:r>
                  <w:r>
                    <w:rPr>
                      <w:rFonts w:hint="eastAsia"/>
                      <w:snapToGrid w:val="0"/>
                      <w:color w:val="auto"/>
                      <w:kern w:val="0"/>
                      <w:szCs w:val="21"/>
                      <w:highlight w:val="none"/>
                    </w:rPr>
                    <w:t>）</w:t>
                  </w:r>
                </w:p>
              </w:tc>
              <w:tc>
                <w:tcPr>
                  <w:tcW w:w="577" w:type="pct"/>
                  <w:tcBorders>
                    <w:top w:val="single" w:color="auto" w:sz="4" w:space="0"/>
                    <w:left w:val="single" w:color="auto" w:sz="4" w:space="0"/>
                    <w:bottom w:val="single" w:color="auto" w:sz="4" w:space="0"/>
                    <w:right w:val="single" w:color="auto" w:sz="4" w:space="0"/>
                  </w:tcBorders>
                  <w:noWrap w:val="0"/>
                  <w:vAlign w:val="center"/>
                </w:tcPr>
                <w:p w14:paraId="0E568DB8">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snapToGrid w:val="0"/>
                      <w:color w:val="auto"/>
                      <w:kern w:val="0"/>
                      <w:szCs w:val="21"/>
                      <w:highlight w:val="none"/>
                    </w:rPr>
                    <w:t>面积（m</w:t>
                  </w:r>
                  <w:r>
                    <w:rPr>
                      <w:rFonts w:hint="eastAsia"/>
                      <w:snapToGrid w:val="0"/>
                      <w:color w:val="auto"/>
                      <w:kern w:val="0"/>
                      <w:szCs w:val="21"/>
                      <w:highlight w:val="none"/>
                      <w:vertAlign w:val="superscript"/>
                    </w:rPr>
                    <w:t>2</w:t>
                  </w:r>
                  <w:r>
                    <w:rPr>
                      <w:rFonts w:hint="eastAsia"/>
                      <w:snapToGrid w:val="0"/>
                      <w:color w:val="auto"/>
                      <w:kern w:val="0"/>
                      <w:szCs w:val="21"/>
                      <w:highlight w:val="none"/>
                    </w:rPr>
                    <w:t>）</w:t>
                  </w:r>
                </w:p>
              </w:tc>
            </w:tr>
            <w:tr w14:paraId="24E8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9" w:type="pct"/>
                  <w:tcBorders>
                    <w:top w:val="single" w:color="auto" w:sz="4" w:space="0"/>
                    <w:left w:val="single" w:color="auto" w:sz="4" w:space="0"/>
                    <w:right w:val="single" w:color="auto" w:sz="4" w:space="0"/>
                  </w:tcBorders>
                  <w:noWrap w:val="0"/>
                  <w:vAlign w:val="center"/>
                </w:tcPr>
                <w:p w14:paraId="02C1F04F">
                  <w:pPr>
                    <w:overflowPunct w:val="0"/>
                    <w:autoSpaceDE w:val="0"/>
                    <w:autoSpaceDN w:val="0"/>
                    <w:adjustRightInd w:val="0"/>
                    <w:ind w:left="-105" w:leftChars="-50" w:right="-105" w:rightChars="-50"/>
                    <w:jc w:val="center"/>
                    <w:textAlignment w:val="baseline"/>
                    <w:rPr>
                      <w:color w:val="auto"/>
                      <w:szCs w:val="21"/>
                      <w:highlight w:val="none"/>
                    </w:rPr>
                  </w:pPr>
                  <w:r>
                    <w:rPr>
                      <w:rFonts w:hint="eastAsia"/>
                      <w:color w:val="auto"/>
                      <w:szCs w:val="21"/>
                      <w:highlight w:val="none"/>
                    </w:rPr>
                    <w:t>生产车间</w:t>
                  </w:r>
                </w:p>
              </w:tc>
              <w:tc>
                <w:tcPr>
                  <w:tcW w:w="1049" w:type="pct"/>
                  <w:tcBorders>
                    <w:top w:val="single" w:color="auto" w:sz="4" w:space="0"/>
                    <w:left w:val="single" w:color="auto" w:sz="4" w:space="0"/>
                    <w:bottom w:val="single" w:color="auto" w:sz="4" w:space="0"/>
                    <w:right w:val="single" w:color="auto" w:sz="4" w:space="0"/>
                  </w:tcBorders>
                  <w:noWrap w:val="0"/>
                  <w:vAlign w:val="center"/>
                </w:tcPr>
                <w:p w14:paraId="5E9C6118">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color w:val="auto"/>
                      <w:kern w:val="24"/>
                      <w:szCs w:val="21"/>
                      <w:highlight w:val="none"/>
                    </w:rPr>
                    <w:t>颗粒物</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4463393D">
                  <w:pPr>
                    <w:overflowPunct w:val="0"/>
                    <w:autoSpaceDE w:val="0"/>
                    <w:autoSpaceDN w:val="0"/>
                    <w:adjustRightInd w:val="0"/>
                    <w:ind w:left="-105" w:leftChars="-50" w:right="-105" w:rightChars="-50"/>
                    <w:jc w:val="center"/>
                    <w:textAlignment w:val="baseline"/>
                    <w:rPr>
                      <w:rFonts w:hint="default" w:eastAsia="宋体"/>
                      <w:snapToGrid w:val="0"/>
                      <w:color w:val="auto"/>
                      <w:kern w:val="0"/>
                      <w:szCs w:val="21"/>
                      <w:highlight w:val="none"/>
                      <w:lang w:val="en-US" w:eastAsia="zh-CN"/>
                    </w:rPr>
                  </w:pPr>
                  <w:r>
                    <w:rPr>
                      <w:rFonts w:hint="eastAsia"/>
                      <w:color w:val="auto"/>
                      <w:szCs w:val="21"/>
                      <w:highlight w:val="none"/>
                      <w:lang w:val="en-US" w:eastAsia="zh-CN"/>
                    </w:rPr>
                    <w:t>0.3015</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5D82461E">
                  <w:pPr>
                    <w:overflowPunct w:val="0"/>
                    <w:autoSpaceDE w:val="0"/>
                    <w:autoSpaceDN w:val="0"/>
                    <w:adjustRightInd w:val="0"/>
                    <w:ind w:left="-105" w:leftChars="-50" w:right="-105" w:rightChars="-50"/>
                    <w:jc w:val="center"/>
                    <w:textAlignment w:val="baseline"/>
                    <w:rPr>
                      <w:rFonts w:hint="default" w:eastAsia="宋体"/>
                      <w:snapToGrid w:val="0"/>
                      <w:color w:val="auto"/>
                      <w:kern w:val="0"/>
                      <w:szCs w:val="21"/>
                      <w:highlight w:val="none"/>
                      <w:lang w:val="en-US" w:eastAsia="zh-CN"/>
                    </w:rPr>
                  </w:pPr>
                  <w:r>
                    <w:rPr>
                      <w:color w:val="auto"/>
                      <w:szCs w:val="21"/>
                      <w:highlight w:val="none"/>
                    </w:rPr>
                    <w:t>0.</w:t>
                  </w:r>
                  <w:r>
                    <w:rPr>
                      <w:rFonts w:hint="eastAsia"/>
                      <w:color w:val="auto"/>
                      <w:szCs w:val="21"/>
                      <w:highlight w:val="none"/>
                      <w:lang w:val="en-US" w:eastAsia="zh-CN"/>
                    </w:rPr>
                    <w:t>125625</w:t>
                  </w:r>
                </w:p>
              </w:tc>
              <w:tc>
                <w:tcPr>
                  <w:tcW w:w="905" w:type="pct"/>
                  <w:tcBorders>
                    <w:top w:val="single" w:color="auto" w:sz="4" w:space="0"/>
                    <w:left w:val="single" w:color="auto" w:sz="4" w:space="0"/>
                    <w:right w:val="single" w:color="auto" w:sz="4" w:space="0"/>
                  </w:tcBorders>
                  <w:noWrap w:val="0"/>
                  <w:vAlign w:val="center"/>
                </w:tcPr>
                <w:p w14:paraId="47972C0A">
                  <w:pPr>
                    <w:adjustRightInd w:val="0"/>
                    <w:snapToGrid w:val="0"/>
                    <w:ind w:left="-105" w:leftChars="-50" w:right="-105" w:rightChars="-50"/>
                    <w:jc w:val="center"/>
                    <w:rPr>
                      <w:snapToGrid w:val="0"/>
                      <w:color w:val="auto"/>
                      <w:kern w:val="0"/>
                      <w:szCs w:val="21"/>
                      <w:highlight w:val="none"/>
                    </w:rPr>
                  </w:pPr>
                  <w:r>
                    <w:rPr>
                      <w:snapToGrid w:val="0"/>
                      <w:color w:val="auto"/>
                      <w:kern w:val="0"/>
                      <w:szCs w:val="21"/>
                      <w:highlight w:val="none"/>
                    </w:rPr>
                    <w:t>6</w:t>
                  </w:r>
                </w:p>
              </w:tc>
              <w:tc>
                <w:tcPr>
                  <w:tcW w:w="577" w:type="pct"/>
                  <w:tcBorders>
                    <w:top w:val="single" w:color="auto" w:sz="4" w:space="0"/>
                    <w:left w:val="single" w:color="auto" w:sz="4" w:space="0"/>
                    <w:right w:val="single" w:color="auto" w:sz="4" w:space="0"/>
                  </w:tcBorders>
                  <w:noWrap w:val="0"/>
                  <w:vAlign w:val="center"/>
                </w:tcPr>
                <w:p w14:paraId="40E39210">
                  <w:pPr>
                    <w:overflowPunct w:val="0"/>
                    <w:autoSpaceDE w:val="0"/>
                    <w:autoSpaceDN w:val="0"/>
                    <w:adjustRightInd w:val="0"/>
                    <w:ind w:left="-105" w:leftChars="-50" w:right="-105" w:rightChars="-50"/>
                    <w:jc w:val="center"/>
                    <w:textAlignment w:val="baseline"/>
                    <w:rPr>
                      <w:snapToGrid w:val="0"/>
                      <w:color w:val="auto"/>
                      <w:kern w:val="0"/>
                      <w:szCs w:val="21"/>
                      <w:highlight w:val="none"/>
                    </w:rPr>
                  </w:pPr>
                  <w:r>
                    <w:rPr>
                      <w:rFonts w:hint="eastAsia"/>
                      <w:snapToGrid w:val="0"/>
                      <w:color w:val="auto"/>
                      <w:kern w:val="0"/>
                      <w:szCs w:val="21"/>
                      <w:highlight w:val="none"/>
                    </w:rPr>
                    <w:t>2</w:t>
                  </w:r>
                  <w:r>
                    <w:rPr>
                      <w:snapToGrid w:val="0"/>
                      <w:color w:val="auto"/>
                      <w:kern w:val="0"/>
                      <w:szCs w:val="21"/>
                      <w:highlight w:val="none"/>
                    </w:rPr>
                    <w:t>000</w:t>
                  </w:r>
                </w:p>
              </w:tc>
            </w:tr>
          </w:tbl>
          <w:p w14:paraId="24B94989">
            <w:pPr>
              <w:tabs>
                <w:tab w:val="left" w:pos="1620"/>
              </w:tabs>
              <w:adjustRightInd w:val="0"/>
              <w:snapToGrid w:val="0"/>
              <w:ind w:firstLine="360" w:firstLineChars="200"/>
              <w:jc w:val="left"/>
              <w:rPr>
                <w:bCs/>
                <w:snapToGrid w:val="0"/>
                <w:color w:val="auto"/>
                <w:kern w:val="0"/>
                <w:sz w:val="18"/>
                <w:szCs w:val="18"/>
                <w:highlight w:val="none"/>
              </w:rPr>
            </w:pPr>
            <w:r>
              <w:rPr>
                <w:rFonts w:hint="eastAsia"/>
                <w:bCs/>
                <w:snapToGrid w:val="0"/>
                <w:color w:val="auto"/>
                <w:kern w:val="0"/>
                <w:sz w:val="18"/>
                <w:szCs w:val="18"/>
                <w:highlight w:val="none"/>
              </w:rPr>
              <w:t>注：此处面积指占地面积</w:t>
            </w:r>
          </w:p>
          <w:p w14:paraId="639DEAA0">
            <w:pPr>
              <w:tabs>
                <w:tab w:val="left" w:pos="1620"/>
              </w:tabs>
              <w:adjustRightInd w:val="0"/>
              <w:snapToGrid w:val="0"/>
              <w:spacing w:line="500" w:lineRule="atLeast"/>
              <w:ind w:firstLine="482" w:firstLineChars="200"/>
              <w:jc w:val="center"/>
              <w:rPr>
                <w:b/>
                <w:snapToGrid w:val="0"/>
                <w:color w:val="auto"/>
                <w:kern w:val="0"/>
                <w:sz w:val="24"/>
                <w:highlight w:val="none"/>
              </w:rPr>
            </w:pPr>
            <w:r>
              <w:rPr>
                <w:rFonts w:hint="eastAsia"/>
                <w:b/>
                <w:snapToGrid w:val="0"/>
                <w:color w:val="auto"/>
                <w:kern w:val="0"/>
                <w:sz w:val="24"/>
                <w:highlight w:val="none"/>
              </w:rPr>
              <w:t>表</w:t>
            </w:r>
            <w:r>
              <w:rPr>
                <w:b/>
                <w:snapToGrid w:val="0"/>
                <w:color w:val="auto"/>
                <w:kern w:val="0"/>
                <w:sz w:val="24"/>
                <w:highlight w:val="none"/>
              </w:rPr>
              <w:t>4</w:t>
            </w:r>
            <w:r>
              <w:rPr>
                <w:rFonts w:hint="eastAsia"/>
                <w:b/>
                <w:snapToGrid w:val="0"/>
                <w:color w:val="auto"/>
                <w:kern w:val="0"/>
                <w:sz w:val="24"/>
                <w:highlight w:val="none"/>
              </w:rPr>
              <w:t>大气污染物年排放量核算表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636"/>
              <w:gridCol w:w="2239"/>
            </w:tblGrid>
            <w:tr w14:paraId="375A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pct"/>
                  <w:tcBorders>
                    <w:top w:val="single" w:color="auto" w:sz="4" w:space="0"/>
                    <w:left w:val="single" w:color="auto" w:sz="4" w:space="0"/>
                    <w:bottom w:val="single" w:color="auto" w:sz="4" w:space="0"/>
                    <w:right w:val="single" w:color="auto" w:sz="4" w:space="0"/>
                  </w:tcBorders>
                  <w:noWrap w:val="0"/>
                  <w:vAlign w:val="top"/>
                </w:tcPr>
                <w:p w14:paraId="459B4734">
                  <w:pPr>
                    <w:jc w:val="center"/>
                    <w:rPr>
                      <w:snapToGrid w:val="0"/>
                      <w:color w:val="auto"/>
                      <w:kern w:val="28"/>
                    </w:rPr>
                  </w:pPr>
                  <w:r>
                    <w:rPr>
                      <w:rFonts w:hint="eastAsia"/>
                      <w:snapToGrid w:val="0"/>
                      <w:color w:val="auto"/>
                      <w:kern w:val="28"/>
                    </w:rPr>
                    <w:t>序号</w:t>
                  </w:r>
                </w:p>
              </w:tc>
              <w:tc>
                <w:tcPr>
                  <w:tcW w:w="2447" w:type="pct"/>
                  <w:tcBorders>
                    <w:top w:val="single" w:color="auto" w:sz="4" w:space="0"/>
                    <w:left w:val="single" w:color="auto" w:sz="4" w:space="0"/>
                    <w:bottom w:val="single" w:color="auto" w:sz="4" w:space="0"/>
                    <w:right w:val="single" w:color="auto" w:sz="4" w:space="0"/>
                  </w:tcBorders>
                  <w:noWrap w:val="0"/>
                  <w:vAlign w:val="top"/>
                </w:tcPr>
                <w:p w14:paraId="77EBC1C7">
                  <w:pPr>
                    <w:jc w:val="center"/>
                    <w:rPr>
                      <w:snapToGrid w:val="0"/>
                      <w:color w:val="auto"/>
                      <w:kern w:val="28"/>
                    </w:rPr>
                  </w:pPr>
                  <w:r>
                    <w:rPr>
                      <w:rFonts w:hint="eastAsia"/>
                      <w:snapToGrid w:val="0"/>
                      <w:color w:val="auto"/>
                      <w:kern w:val="28"/>
                    </w:rPr>
                    <w:t>污染物</w:t>
                  </w:r>
                </w:p>
              </w:tc>
              <w:tc>
                <w:tcPr>
                  <w:tcW w:w="1182" w:type="pct"/>
                  <w:tcBorders>
                    <w:top w:val="single" w:color="auto" w:sz="4" w:space="0"/>
                    <w:left w:val="single" w:color="auto" w:sz="4" w:space="0"/>
                    <w:bottom w:val="single" w:color="auto" w:sz="4" w:space="0"/>
                    <w:right w:val="single" w:color="auto" w:sz="4" w:space="0"/>
                  </w:tcBorders>
                  <w:noWrap w:val="0"/>
                  <w:vAlign w:val="top"/>
                </w:tcPr>
                <w:p w14:paraId="48EAAA39">
                  <w:pPr>
                    <w:jc w:val="center"/>
                    <w:rPr>
                      <w:snapToGrid w:val="0"/>
                      <w:color w:val="auto"/>
                      <w:kern w:val="28"/>
                    </w:rPr>
                  </w:pPr>
                  <w:r>
                    <w:rPr>
                      <w:rFonts w:hint="eastAsia"/>
                      <w:snapToGrid w:val="0"/>
                      <w:color w:val="auto"/>
                      <w:kern w:val="28"/>
                    </w:rPr>
                    <w:t>年排放量（t/a）</w:t>
                  </w:r>
                </w:p>
              </w:tc>
            </w:tr>
            <w:tr w14:paraId="52F4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pct"/>
                  <w:tcBorders>
                    <w:top w:val="single" w:color="auto" w:sz="4" w:space="0"/>
                    <w:left w:val="single" w:color="auto" w:sz="4" w:space="0"/>
                    <w:bottom w:val="single" w:color="auto" w:sz="4" w:space="0"/>
                    <w:right w:val="single" w:color="auto" w:sz="4" w:space="0"/>
                  </w:tcBorders>
                  <w:noWrap w:val="0"/>
                  <w:vAlign w:val="top"/>
                </w:tcPr>
                <w:p w14:paraId="0A3C7C28">
                  <w:pPr>
                    <w:jc w:val="center"/>
                    <w:rPr>
                      <w:snapToGrid w:val="0"/>
                      <w:color w:val="auto"/>
                      <w:kern w:val="28"/>
                    </w:rPr>
                  </w:pPr>
                  <w:r>
                    <w:rPr>
                      <w:snapToGrid w:val="0"/>
                      <w:color w:val="auto"/>
                      <w:kern w:val="28"/>
                    </w:rPr>
                    <w:t>1</w:t>
                  </w:r>
                </w:p>
              </w:tc>
              <w:tc>
                <w:tcPr>
                  <w:tcW w:w="2447" w:type="pct"/>
                  <w:tcBorders>
                    <w:top w:val="single" w:color="auto" w:sz="4" w:space="0"/>
                    <w:left w:val="single" w:color="auto" w:sz="4" w:space="0"/>
                    <w:bottom w:val="single" w:color="auto" w:sz="4" w:space="0"/>
                    <w:right w:val="single" w:color="auto" w:sz="4" w:space="0"/>
                  </w:tcBorders>
                  <w:noWrap w:val="0"/>
                  <w:vAlign w:val="center"/>
                </w:tcPr>
                <w:p w14:paraId="11022C23">
                  <w:pPr>
                    <w:jc w:val="center"/>
                    <w:rPr>
                      <w:snapToGrid w:val="0"/>
                      <w:color w:val="auto"/>
                      <w:kern w:val="28"/>
                      <w:szCs w:val="21"/>
                    </w:rPr>
                  </w:pPr>
                  <w:r>
                    <w:rPr>
                      <w:rFonts w:hint="eastAsia"/>
                      <w:color w:val="auto"/>
                      <w:kern w:val="24"/>
                      <w:szCs w:val="21"/>
                      <w:lang w:val="en-US" w:eastAsia="zh-CN"/>
                    </w:rPr>
                    <w:t>有组织排放</w:t>
                  </w:r>
                  <w:r>
                    <w:rPr>
                      <w:rFonts w:hint="eastAsia"/>
                      <w:color w:val="auto"/>
                      <w:kern w:val="24"/>
                      <w:szCs w:val="21"/>
                    </w:rPr>
                    <w:t>颗粒物</w:t>
                  </w:r>
                </w:p>
              </w:tc>
              <w:tc>
                <w:tcPr>
                  <w:tcW w:w="1182" w:type="pct"/>
                  <w:tcBorders>
                    <w:top w:val="single" w:color="auto" w:sz="4" w:space="0"/>
                    <w:left w:val="single" w:color="auto" w:sz="4" w:space="0"/>
                    <w:bottom w:val="single" w:color="auto" w:sz="4" w:space="0"/>
                    <w:right w:val="single" w:color="auto" w:sz="4" w:space="0"/>
                  </w:tcBorders>
                  <w:noWrap w:val="0"/>
                  <w:vAlign w:val="center"/>
                </w:tcPr>
                <w:p w14:paraId="3981B037">
                  <w:pPr>
                    <w:widowControl/>
                    <w:jc w:val="center"/>
                    <w:rPr>
                      <w:rFonts w:hint="default" w:eastAsia="宋体"/>
                      <w:color w:val="auto"/>
                      <w:kern w:val="0"/>
                      <w:szCs w:val="21"/>
                      <w:lang w:val="en-US" w:eastAsia="zh-CN"/>
                    </w:rPr>
                  </w:pPr>
                  <w:r>
                    <w:rPr>
                      <w:rFonts w:hint="eastAsia"/>
                      <w:color w:val="auto"/>
                      <w:szCs w:val="21"/>
                      <w:highlight w:val="none"/>
                      <w:lang w:val="en-US" w:eastAsia="zh-CN"/>
                    </w:rPr>
                    <w:t>0.009225</w:t>
                  </w:r>
                </w:p>
              </w:tc>
            </w:tr>
            <w:tr w14:paraId="1CEB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pct"/>
                  <w:tcBorders>
                    <w:top w:val="single" w:color="auto" w:sz="4" w:space="0"/>
                    <w:left w:val="single" w:color="auto" w:sz="4" w:space="0"/>
                    <w:bottom w:val="single" w:color="auto" w:sz="4" w:space="0"/>
                    <w:right w:val="single" w:color="auto" w:sz="4" w:space="0"/>
                  </w:tcBorders>
                  <w:noWrap w:val="0"/>
                  <w:vAlign w:val="top"/>
                </w:tcPr>
                <w:p w14:paraId="1C62F18B">
                  <w:pPr>
                    <w:jc w:val="center"/>
                    <w:rPr>
                      <w:rFonts w:hint="eastAsia" w:eastAsia="宋体"/>
                      <w:snapToGrid w:val="0"/>
                      <w:color w:val="auto"/>
                      <w:kern w:val="28"/>
                      <w:lang w:val="en-US" w:eastAsia="zh-CN"/>
                    </w:rPr>
                  </w:pPr>
                  <w:r>
                    <w:rPr>
                      <w:rFonts w:hint="eastAsia"/>
                      <w:snapToGrid w:val="0"/>
                      <w:color w:val="auto"/>
                      <w:kern w:val="28"/>
                      <w:lang w:val="en-US" w:eastAsia="zh-CN"/>
                    </w:rPr>
                    <w:t>2</w:t>
                  </w:r>
                </w:p>
              </w:tc>
              <w:tc>
                <w:tcPr>
                  <w:tcW w:w="2447" w:type="pct"/>
                  <w:tcBorders>
                    <w:top w:val="single" w:color="auto" w:sz="4" w:space="0"/>
                    <w:left w:val="single" w:color="auto" w:sz="4" w:space="0"/>
                    <w:bottom w:val="single" w:color="auto" w:sz="4" w:space="0"/>
                    <w:right w:val="single" w:color="auto" w:sz="4" w:space="0"/>
                  </w:tcBorders>
                  <w:noWrap w:val="0"/>
                  <w:vAlign w:val="center"/>
                </w:tcPr>
                <w:p w14:paraId="44904803">
                  <w:pPr>
                    <w:jc w:val="center"/>
                    <w:rPr>
                      <w:rFonts w:hint="default" w:eastAsia="宋体"/>
                      <w:color w:val="auto"/>
                      <w:kern w:val="24"/>
                      <w:szCs w:val="21"/>
                      <w:lang w:val="en-US" w:eastAsia="zh-CN"/>
                    </w:rPr>
                  </w:pPr>
                  <w:r>
                    <w:rPr>
                      <w:rFonts w:hint="eastAsia"/>
                      <w:color w:val="auto"/>
                      <w:kern w:val="24"/>
                      <w:szCs w:val="21"/>
                      <w:lang w:val="en-US" w:eastAsia="zh-CN"/>
                    </w:rPr>
                    <w:t>无组织排放颗粒物</w:t>
                  </w:r>
                </w:p>
              </w:tc>
              <w:tc>
                <w:tcPr>
                  <w:tcW w:w="1182" w:type="pct"/>
                  <w:tcBorders>
                    <w:top w:val="single" w:color="auto" w:sz="4" w:space="0"/>
                    <w:left w:val="single" w:color="auto" w:sz="4" w:space="0"/>
                    <w:bottom w:val="single" w:color="auto" w:sz="4" w:space="0"/>
                    <w:right w:val="single" w:color="auto" w:sz="4" w:space="0"/>
                  </w:tcBorders>
                  <w:noWrap w:val="0"/>
                  <w:vAlign w:val="center"/>
                </w:tcPr>
                <w:p w14:paraId="1C25DF9B">
                  <w:pPr>
                    <w:widowControl/>
                    <w:jc w:val="center"/>
                    <w:rPr>
                      <w:rFonts w:hint="default"/>
                      <w:color w:val="auto"/>
                      <w:szCs w:val="21"/>
                      <w:highlight w:val="none"/>
                      <w:lang w:val="en-US" w:eastAsia="zh-CN"/>
                    </w:rPr>
                  </w:pPr>
                  <w:r>
                    <w:rPr>
                      <w:rFonts w:hint="eastAsia"/>
                      <w:color w:val="auto"/>
                      <w:szCs w:val="21"/>
                      <w:highlight w:val="none"/>
                      <w:lang w:val="en-US" w:eastAsia="zh-CN"/>
                    </w:rPr>
                    <w:t>0.3015</w:t>
                  </w:r>
                </w:p>
              </w:tc>
            </w:tr>
            <w:tr w14:paraId="3BF7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pct"/>
                  <w:tcBorders>
                    <w:top w:val="single" w:color="auto" w:sz="4" w:space="0"/>
                    <w:left w:val="single" w:color="auto" w:sz="4" w:space="0"/>
                    <w:bottom w:val="single" w:color="auto" w:sz="4" w:space="0"/>
                    <w:right w:val="single" w:color="auto" w:sz="4" w:space="0"/>
                  </w:tcBorders>
                  <w:noWrap w:val="0"/>
                  <w:vAlign w:val="top"/>
                </w:tcPr>
                <w:p w14:paraId="205E478B">
                  <w:pPr>
                    <w:jc w:val="center"/>
                    <w:rPr>
                      <w:rFonts w:hint="default"/>
                      <w:snapToGrid w:val="0"/>
                      <w:color w:val="auto"/>
                      <w:kern w:val="28"/>
                      <w:lang w:val="en-US" w:eastAsia="zh-CN"/>
                    </w:rPr>
                  </w:pPr>
                  <w:r>
                    <w:rPr>
                      <w:rFonts w:hint="eastAsia"/>
                      <w:snapToGrid w:val="0"/>
                      <w:color w:val="auto"/>
                      <w:kern w:val="28"/>
                      <w:lang w:val="en-US" w:eastAsia="zh-CN"/>
                    </w:rPr>
                    <w:t>总排放量</w:t>
                  </w:r>
                </w:p>
              </w:tc>
              <w:tc>
                <w:tcPr>
                  <w:tcW w:w="2447" w:type="pct"/>
                  <w:tcBorders>
                    <w:top w:val="single" w:color="auto" w:sz="4" w:space="0"/>
                    <w:left w:val="single" w:color="auto" w:sz="4" w:space="0"/>
                    <w:bottom w:val="single" w:color="auto" w:sz="4" w:space="0"/>
                    <w:right w:val="single" w:color="auto" w:sz="4" w:space="0"/>
                  </w:tcBorders>
                  <w:noWrap w:val="0"/>
                  <w:vAlign w:val="center"/>
                </w:tcPr>
                <w:p w14:paraId="75BBC23B">
                  <w:pPr>
                    <w:jc w:val="center"/>
                    <w:rPr>
                      <w:rFonts w:hint="default"/>
                      <w:color w:val="auto"/>
                      <w:kern w:val="24"/>
                      <w:szCs w:val="21"/>
                      <w:lang w:val="en-US" w:eastAsia="zh-CN"/>
                    </w:rPr>
                  </w:pPr>
                  <w:r>
                    <w:rPr>
                      <w:rFonts w:hint="eastAsia"/>
                      <w:color w:val="auto"/>
                      <w:kern w:val="24"/>
                      <w:szCs w:val="21"/>
                      <w:lang w:val="en-US" w:eastAsia="zh-CN"/>
                    </w:rPr>
                    <w:t>颗粒物</w:t>
                  </w:r>
                </w:p>
              </w:tc>
              <w:tc>
                <w:tcPr>
                  <w:tcW w:w="1182" w:type="pct"/>
                  <w:tcBorders>
                    <w:top w:val="single" w:color="auto" w:sz="4" w:space="0"/>
                    <w:left w:val="single" w:color="auto" w:sz="4" w:space="0"/>
                    <w:bottom w:val="single" w:color="auto" w:sz="4" w:space="0"/>
                    <w:right w:val="single" w:color="auto" w:sz="4" w:space="0"/>
                  </w:tcBorders>
                  <w:noWrap w:val="0"/>
                  <w:vAlign w:val="center"/>
                </w:tcPr>
                <w:p w14:paraId="3442F2B6">
                  <w:pPr>
                    <w:widowControl/>
                    <w:jc w:val="center"/>
                    <w:rPr>
                      <w:rFonts w:hint="default"/>
                      <w:color w:val="auto"/>
                      <w:szCs w:val="21"/>
                      <w:highlight w:val="none"/>
                      <w:lang w:val="en-US" w:eastAsia="zh-CN"/>
                    </w:rPr>
                  </w:pPr>
                  <w:r>
                    <w:rPr>
                      <w:rFonts w:hint="eastAsia"/>
                      <w:color w:val="auto"/>
                      <w:szCs w:val="21"/>
                      <w:highlight w:val="none"/>
                      <w:lang w:val="en-US" w:eastAsia="zh-CN"/>
                    </w:rPr>
                    <w:t>0.311</w:t>
                  </w:r>
                </w:p>
              </w:tc>
            </w:tr>
          </w:tbl>
          <w:p w14:paraId="35BAAC3A">
            <w:pPr>
              <w:spacing w:line="500" w:lineRule="exact"/>
              <w:ind w:firstLine="480" w:firstLineChars="200"/>
              <w:rPr>
                <w:snapToGrid w:val="0"/>
                <w:color w:val="auto"/>
                <w:kern w:val="0"/>
                <w:sz w:val="24"/>
              </w:rPr>
            </w:pPr>
            <w:r>
              <w:rPr>
                <w:snapToGrid w:val="0"/>
                <w:color w:val="auto"/>
                <w:kern w:val="0"/>
                <w:sz w:val="24"/>
              </w:rPr>
              <w:t>2</w:t>
            </w:r>
            <w:r>
              <w:rPr>
                <w:rFonts w:hint="eastAsia"/>
                <w:snapToGrid w:val="0"/>
                <w:color w:val="auto"/>
                <w:kern w:val="0"/>
                <w:sz w:val="24"/>
              </w:rPr>
              <w:t>、防治措施可行性及达标分析</w:t>
            </w:r>
          </w:p>
          <w:p w14:paraId="4D783C91">
            <w:pPr>
              <w:spacing w:line="500" w:lineRule="atLeast"/>
              <w:ind w:firstLine="480" w:firstLineChars="200"/>
              <w:rPr>
                <w:rFonts w:hint="eastAsia" w:ascii="Times New Roman" w:hAnsi="Times New Roman"/>
                <w:snapToGrid w:val="0"/>
                <w:color w:val="auto"/>
                <w:kern w:val="0"/>
                <w:sz w:val="24"/>
              </w:rPr>
            </w:pPr>
            <w:r>
              <w:rPr>
                <w:rFonts w:hint="eastAsia"/>
                <w:snapToGrid w:val="0"/>
                <w:color w:val="auto"/>
                <w:kern w:val="0"/>
                <w:sz w:val="24"/>
                <w:lang w:val="en-US" w:eastAsia="zh-CN"/>
              </w:rPr>
              <w:t>投料粉尘</w:t>
            </w:r>
            <w:r>
              <w:rPr>
                <w:rFonts w:hint="eastAsia"/>
                <w:color w:val="auto"/>
                <w:sz w:val="24"/>
              </w:rPr>
              <w:t>：</w:t>
            </w:r>
            <w:r>
              <w:rPr>
                <w:rFonts w:hint="eastAsia"/>
                <w:snapToGrid w:val="0"/>
                <w:color w:val="auto"/>
                <w:kern w:val="0"/>
                <w:sz w:val="24"/>
                <w:lang w:val="en-US" w:eastAsia="zh-CN"/>
              </w:rPr>
              <w:t>采用集气罩收集该工段产生的粉尘，收集后进入布袋除尘器处理，集气罩</w:t>
            </w:r>
            <w:r>
              <w:rPr>
                <w:rFonts w:hint="eastAsia"/>
                <w:snapToGrid w:val="0"/>
                <w:color w:val="auto"/>
                <w:kern w:val="0"/>
                <w:sz w:val="24"/>
              </w:rPr>
              <w:t>捕集效率约为90%，处理效率99%</w:t>
            </w:r>
            <w:r>
              <w:rPr>
                <w:rFonts w:hint="eastAsia"/>
                <w:snapToGrid w:val="0"/>
                <w:color w:val="auto"/>
                <w:kern w:val="0"/>
                <w:sz w:val="24"/>
                <w:lang w:eastAsia="zh-CN"/>
              </w:rPr>
              <w:t>，</w:t>
            </w:r>
            <w:r>
              <w:rPr>
                <w:rFonts w:hint="eastAsia" w:ascii="Times New Roman" w:hAnsi="Times New Roman"/>
                <w:snapToGrid w:val="0"/>
                <w:color w:val="auto"/>
                <w:kern w:val="0"/>
                <w:sz w:val="24"/>
              </w:rPr>
              <w:t>处理后的废气经</w:t>
            </w:r>
            <w:r>
              <w:rPr>
                <w:color w:val="auto"/>
                <w:sz w:val="24"/>
              </w:rPr>
              <w:t>15m</w:t>
            </w:r>
            <w:r>
              <w:rPr>
                <w:rFonts w:hint="eastAsia" w:ascii="Times New Roman" w:hAnsi="Times New Roman"/>
                <w:snapToGrid w:val="0"/>
                <w:color w:val="auto"/>
                <w:kern w:val="0"/>
                <w:sz w:val="24"/>
              </w:rPr>
              <w:t>高的排气筒</w:t>
            </w:r>
            <w:r>
              <w:rPr>
                <w:color w:val="auto"/>
                <w:sz w:val="24"/>
              </w:rPr>
              <w:t>DA001</w:t>
            </w:r>
            <w:r>
              <w:rPr>
                <w:rFonts w:hint="eastAsia" w:ascii="Times New Roman" w:hAnsi="Times New Roman"/>
                <w:snapToGrid w:val="0"/>
                <w:color w:val="auto"/>
                <w:kern w:val="0"/>
                <w:sz w:val="24"/>
              </w:rPr>
              <w:t>排放，逸散废气无组织排放。</w:t>
            </w:r>
          </w:p>
          <w:p w14:paraId="28B2ACFD">
            <w:pPr>
              <w:spacing w:line="500" w:lineRule="atLeast"/>
              <w:ind w:firstLine="480" w:firstLineChars="200"/>
              <w:rPr>
                <w:rFonts w:hint="eastAsia"/>
                <w:snapToGrid w:val="0"/>
                <w:color w:val="auto"/>
                <w:kern w:val="0"/>
                <w:sz w:val="24"/>
                <w:lang w:val="en-US" w:eastAsia="zh-CN"/>
              </w:rPr>
            </w:pPr>
            <w:r>
              <w:rPr>
                <w:rFonts w:hint="eastAsia"/>
                <w:snapToGrid w:val="0"/>
                <w:color w:val="auto"/>
                <w:kern w:val="0"/>
                <w:sz w:val="24"/>
                <w:lang w:val="en-US" w:eastAsia="zh-CN"/>
              </w:rPr>
              <w:t>缓</w:t>
            </w:r>
            <w:r>
              <w:rPr>
                <w:rFonts w:hint="eastAsia"/>
                <w:snapToGrid w:val="0"/>
                <w:color w:val="auto"/>
                <w:kern w:val="0"/>
                <w:sz w:val="24"/>
                <w:highlight w:val="none"/>
                <w:lang w:val="en-US" w:eastAsia="zh-CN"/>
              </w:rPr>
              <w:t>冲仓装卸粉尘</w:t>
            </w:r>
            <w:r>
              <w:rPr>
                <w:rFonts w:hint="eastAsia"/>
                <w:snapToGrid w:val="0"/>
                <w:color w:val="auto"/>
                <w:kern w:val="0"/>
                <w:sz w:val="24"/>
                <w:lang w:val="en-US" w:eastAsia="zh-CN"/>
              </w:rPr>
              <w:t>：采用</w:t>
            </w:r>
            <w:r>
              <w:rPr>
                <w:rFonts w:hint="eastAsia"/>
                <w:bCs w:val="0"/>
                <w:snapToGrid w:val="0"/>
                <w:color w:val="auto"/>
                <w:kern w:val="0"/>
                <w:sz w:val="24"/>
                <w:lang w:eastAsia="zh-CN"/>
              </w:rPr>
              <w:t>仓顶</w:t>
            </w:r>
            <w:r>
              <w:rPr>
                <w:rFonts w:hint="eastAsia"/>
                <w:bCs w:val="0"/>
                <w:snapToGrid w:val="0"/>
                <w:color w:val="auto"/>
                <w:kern w:val="0"/>
                <w:sz w:val="24"/>
              </w:rPr>
              <w:t>安装仓顶除尘器</w:t>
            </w:r>
            <w:r>
              <w:rPr>
                <w:rFonts w:hint="eastAsia"/>
                <w:bCs w:val="0"/>
                <w:snapToGrid w:val="0"/>
                <w:color w:val="auto"/>
                <w:kern w:val="0"/>
                <w:sz w:val="24"/>
                <w:lang w:val="en-US" w:eastAsia="zh-CN"/>
              </w:rPr>
              <w:t>方式处理</w:t>
            </w:r>
            <w:r>
              <w:rPr>
                <w:rFonts w:hint="eastAsia"/>
                <w:bCs w:val="0"/>
                <w:snapToGrid w:val="0"/>
                <w:color w:val="auto"/>
                <w:kern w:val="0"/>
                <w:sz w:val="24"/>
              </w:rPr>
              <w:t>，</w:t>
            </w:r>
            <w:r>
              <w:rPr>
                <w:rFonts w:hint="eastAsia"/>
                <w:bCs w:val="0"/>
                <w:snapToGrid w:val="0"/>
                <w:color w:val="auto"/>
                <w:kern w:val="0"/>
                <w:sz w:val="24"/>
                <w:lang w:eastAsia="zh-CN"/>
              </w:rPr>
              <w:t>去除率按</w:t>
            </w:r>
            <w:r>
              <w:rPr>
                <w:rFonts w:hint="eastAsia"/>
                <w:bCs w:val="0"/>
                <w:snapToGrid w:val="0"/>
                <w:color w:val="auto"/>
                <w:kern w:val="0"/>
                <w:sz w:val="24"/>
                <w:lang w:val="en-US" w:eastAsia="zh-CN"/>
              </w:rPr>
              <w:t>99%计，</w:t>
            </w:r>
            <w:r>
              <w:rPr>
                <w:rFonts w:hint="eastAsia"/>
                <w:snapToGrid w:val="0"/>
                <w:color w:val="auto"/>
                <w:kern w:val="0"/>
                <w:sz w:val="24"/>
                <w:lang w:eastAsia="zh-CN"/>
              </w:rPr>
              <w:t>处理后的粉尘经仓顶排放，</w:t>
            </w:r>
            <w:r>
              <w:rPr>
                <w:rFonts w:hint="eastAsia"/>
                <w:snapToGrid w:val="0"/>
                <w:color w:val="auto"/>
                <w:kern w:val="0"/>
                <w:sz w:val="24"/>
                <w:lang w:val="en-US" w:eastAsia="zh-CN"/>
              </w:rPr>
              <w:t>低于15m高，无有组织废气排放。</w:t>
            </w:r>
          </w:p>
          <w:p w14:paraId="24DE01E2">
            <w:pPr>
              <w:spacing w:line="500" w:lineRule="atLeast"/>
              <w:ind w:firstLine="480" w:firstLineChars="200"/>
              <w:rPr>
                <w:rFonts w:hint="eastAsia" w:ascii="Times New Roman" w:hAnsi="Times New Roman"/>
                <w:snapToGrid w:val="0"/>
                <w:color w:val="auto"/>
                <w:kern w:val="0"/>
                <w:sz w:val="24"/>
              </w:rPr>
            </w:pPr>
            <w:r>
              <w:rPr>
                <w:rFonts w:hint="eastAsia"/>
                <w:snapToGrid w:val="0"/>
                <w:color w:val="auto"/>
                <w:kern w:val="0"/>
                <w:sz w:val="24"/>
                <w:lang w:val="en-US" w:eastAsia="zh-CN"/>
              </w:rPr>
              <w:t>包装粉尘</w:t>
            </w:r>
            <w:r>
              <w:rPr>
                <w:rFonts w:hint="eastAsia"/>
                <w:color w:val="auto"/>
                <w:sz w:val="24"/>
              </w:rPr>
              <w:t>：</w:t>
            </w:r>
            <w:r>
              <w:rPr>
                <w:rFonts w:hint="eastAsia"/>
                <w:snapToGrid w:val="0"/>
                <w:color w:val="auto"/>
                <w:kern w:val="0"/>
                <w:sz w:val="24"/>
                <w:lang w:val="en-US" w:eastAsia="zh-CN"/>
              </w:rPr>
              <w:t>包装机上风设置集气罩，粉尘</w:t>
            </w:r>
            <w:r>
              <w:rPr>
                <w:rFonts w:hint="eastAsia"/>
                <w:snapToGrid w:val="0"/>
                <w:color w:val="auto"/>
                <w:kern w:val="0"/>
                <w:sz w:val="24"/>
              </w:rPr>
              <w:t>收集后经布袋除尘器处理</w:t>
            </w:r>
            <w:r>
              <w:rPr>
                <w:rFonts w:hint="eastAsia"/>
                <w:snapToGrid w:val="0"/>
                <w:color w:val="auto"/>
                <w:kern w:val="0"/>
                <w:sz w:val="24"/>
                <w:lang w:val="en-US" w:eastAsia="zh-CN"/>
              </w:rPr>
              <w:t>，集气罩</w:t>
            </w:r>
            <w:r>
              <w:rPr>
                <w:rFonts w:hint="eastAsia"/>
                <w:snapToGrid w:val="0"/>
                <w:color w:val="auto"/>
                <w:kern w:val="0"/>
                <w:sz w:val="24"/>
              </w:rPr>
              <w:t>捕集效率约为90%，处理效率99%</w:t>
            </w:r>
            <w:r>
              <w:rPr>
                <w:rFonts w:hint="eastAsia"/>
                <w:snapToGrid w:val="0"/>
                <w:color w:val="auto"/>
                <w:kern w:val="0"/>
                <w:sz w:val="24"/>
                <w:lang w:eastAsia="zh-CN"/>
              </w:rPr>
              <w:t>，</w:t>
            </w:r>
            <w:r>
              <w:rPr>
                <w:rFonts w:hint="eastAsia" w:ascii="Times New Roman" w:hAnsi="Times New Roman"/>
                <w:snapToGrid w:val="0"/>
                <w:color w:val="auto"/>
                <w:kern w:val="0"/>
                <w:sz w:val="24"/>
              </w:rPr>
              <w:t>处理后的废气经</w:t>
            </w:r>
            <w:r>
              <w:rPr>
                <w:color w:val="auto"/>
                <w:sz w:val="24"/>
              </w:rPr>
              <w:t>15m</w:t>
            </w:r>
            <w:r>
              <w:rPr>
                <w:rFonts w:hint="eastAsia" w:ascii="Times New Roman" w:hAnsi="Times New Roman"/>
                <w:snapToGrid w:val="0"/>
                <w:color w:val="auto"/>
                <w:kern w:val="0"/>
                <w:sz w:val="24"/>
              </w:rPr>
              <w:t>高的排气筒</w:t>
            </w:r>
            <w:r>
              <w:rPr>
                <w:color w:val="auto"/>
                <w:sz w:val="24"/>
              </w:rPr>
              <w:t>DA001</w:t>
            </w:r>
            <w:r>
              <w:rPr>
                <w:rFonts w:hint="eastAsia" w:ascii="Times New Roman" w:hAnsi="Times New Roman"/>
                <w:snapToGrid w:val="0"/>
                <w:color w:val="auto"/>
                <w:kern w:val="0"/>
                <w:sz w:val="24"/>
              </w:rPr>
              <w:t>排放，逸散废气无组织排放。</w:t>
            </w:r>
          </w:p>
          <w:p w14:paraId="652D24FC">
            <w:pPr>
              <w:spacing w:line="500" w:lineRule="atLeast"/>
              <w:ind w:firstLine="480" w:firstLineChars="200"/>
              <w:rPr>
                <w:snapToGrid w:val="0"/>
                <w:color w:val="auto"/>
                <w:kern w:val="0"/>
                <w:sz w:val="24"/>
              </w:rPr>
            </w:pPr>
            <w:r>
              <w:rPr>
                <w:rFonts w:hint="eastAsia"/>
                <w:snapToGrid w:val="0"/>
                <w:color w:val="auto"/>
                <w:kern w:val="0"/>
                <w:sz w:val="24"/>
              </w:rPr>
              <w:t>根据《排污许可证申请与核发技术规范</w:t>
            </w:r>
            <w:r>
              <w:rPr>
                <w:rFonts w:hint="eastAsia"/>
                <w:snapToGrid w:val="0"/>
                <w:color w:val="auto"/>
                <w:kern w:val="0"/>
                <w:sz w:val="24"/>
                <w:lang w:val="en-US" w:eastAsia="zh-CN"/>
              </w:rPr>
              <w:t xml:space="preserve">   </w:t>
            </w:r>
            <w:r>
              <w:rPr>
                <w:rFonts w:hint="eastAsia"/>
                <w:snapToGrid w:val="0"/>
                <w:color w:val="auto"/>
                <w:kern w:val="0"/>
                <w:sz w:val="24"/>
              </w:rPr>
              <w:t>石墨及其他非金属矿物制品制造》（HJ1119—2020）附录 A 中表 A.5沥青混合料生产排污单位废气污染防治可行技术参考</w:t>
            </w:r>
            <w:r>
              <w:rPr>
                <w:rFonts w:hint="eastAsia"/>
                <w:snapToGrid w:val="0"/>
                <w:color w:val="auto"/>
                <w:kern w:val="0"/>
                <w:sz w:val="24"/>
                <w:lang w:val="en-US" w:eastAsia="zh-CN"/>
              </w:rPr>
              <w:t>表</w:t>
            </w:r>
            <w:r>
              <w:rPr>
                <w:rFonts w:hint="eastAsia"/>
                <w:snapToGrid w:val="0"/>
                <w:color w:val="auto"/>
                <w:kern w:val="0"/>
                <w:sz w:val="24"/>
              </w:rPr>
              <w:t>：</w:t>
            </w:r>
          </w:p>
          <w:p w14:paraId="46FF5887">
            <w:pPr>
              <w:spacing w:line="500" w:lineRule="atLeast"/>
              <w:ind w:firstLine="482" w:firstLineChars="200"/>
              <w:jc w:val="center"/>
              <w:rPr>
                <w:rFonts w:hint="eastAsia" w:eastAsia="宋体"/>
                <w:b/>
                <w:snapToGrid w:val="0"/>
                <w:color w:val="auto"/>
                <w:kern w:val="0"/>
                <w:sz w:val="24"/>
                <w:lang w:eastAsia="zh-CN"/>
              </w:rPr>
            </w:pPr>
            <w:r>
              <w:rPr>
                <w:rFonts w:hint="eastAsia"/>
                <w:b/>
                <w:snapToGrid w:val="0"/>
                <w:color w:val="auto"/>
                <w:kern w:val="0"/>
                <w:sz w:val="24"/>
              </w:rPr>
              <w:t>表 A.5 沥青混合料生产排污单位废气污染防治可行技术参考表</w:t>
            </w:r>
            <w:r>
              <w:rPr>
                <w:rFonts w:hint="eastAsia"/>
                <w:b/>
                <w:snapToGrid w:val="0"/>
                <w:color w:val="auto"/>
                <w:kern w:val="0"/>
                <w:sz w:val="24"/>
                <w:lang w:eastAsia="zh-CN"/>
              </w:rPr>
              <w:t>（</w:t>
            </w:r>
            <w:r>
              <w:rPr>
                <w:rFonts w:hint="eastAsia"/>
                <w:b/>
                <w:snapToGrid w:val="0"/>
                <w:color w:val="auto"/>
                <w:kern w:val="0"/>
                <w:sz w:val="24"/>
                <w:lang w:val="en-US" w:eastAsia="zh-CN"/>
              </w:rPr>
              <w:t>节选</w:t>
            </w:r>
            <w:r>
              <w:rPr>
                <w:rFonts w:hint="eastAsia"/>
                <w:b/>
                <w:snapToGrid w:val="0"/>
                <w:color w:val="auto"/>
                <w:kern w:val="0"/>
                <w:sz w:val="24"/>
                <w:lang w:eastAsia="zh-CN"/>
              </w:rPr>
              <w:t>）</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710"/>
              <w:gridCol w:w="3706"/>
              <w:gridCol w:w="2511"/>
            </w:tblGrid>
            <w:tr w14:paraId="2414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2" w:type="pct"/>
                  <w:vAlign w:val="center"/>
                </w:tcPr>
                <w:p w14:paraId="3132DE57">
                  <w:pPr>
                    <w:pStyle w:val="2"/>
                    <w:spacing w:line="240" w:lineRule="exact"/>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废气类别</w:t>
                  </w:r>
                </w:p>
              </w:tc>
              <w:tc>
                <w:tcPr>
                  <w:tcW w:w="903" w:type="pct"/>
                  <w:vAlign w:val="center"/>
                </w:tcPr>
                <w:p w14:paraId="210ADE51">
                  <w:pPr>
                    <w:pStyle w:val="2"/>
                    <w:spacing w:line="240" w:lineRule="exact"/>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主要污染物</w:t>
                  </w:r>
                </w:p>
              </w:tc>
              <w:tc>
                <w:tcPr>
                  <w:tcW w:w="1957" w:type="pct"/>
                  <w:vAlign w:val="center"/>
                </w:tcPr>
                <w:p w14:paraId="054FBA6F">
                  <w:pPr>
                    <w:pStyle w:val="2"/>
                    <w:spacing w:line="240" w:lineRule="exact"/>
                    <w:jc w:val="center"/>
                    <w:rPr>
                      <w:rFonts w:ascii="Times New Roman" w:eastAsia="宋体" w:cs="Times New Roman"/>
                      <w:color w:val="auto"/>
                      <w:sz w:val="21"/>
                      <w:szCs w:val="21"/>
                    </w:rPr>
                  </w:pPr>
                  <w:r>
                    <w:rPr>
                      <w:rFonts w:hint="eastAsia" w:ascii="Times New Roman" w:eastAsia="宋体" w:cs="Times New Roman"/>
                      <w:color w:val="auto"/>
                      <w:sz w:val="21"/>
                      <w:szCs w:val="21"/>
                    </w:rPr>
                    <w:t>推荐</w:t>
                  </w:r>
                  <w:r>
                    <w:rPr>
                      <w:rFonts w:ascii="Times New Roman" w:eastAsia="宋体" w:cs="Times New Roman"/>
                      <w:color w:val="auto"/>
                      <w:sz w:val="21"/>
                      <w:szCs w:val="21"/>
                    </w:rPr>
                    <w:t>可行技术</w:t>
                  </w:r>
                </w:p>
              </w:tc>
              <w:tc>
                <w:tcPr>
                  <w:tcW w:w="1326" w:type="pct"/>
                  <w:vAlign w:val="center"/>
                </w:tcPr>
                <w:p w14:paraId="76E0DD47">
                  <w:pPr>
                    <w:pStyle w:val="2"/>
                    <w:spacing w:line="240" w:lineRule="exact"/>
                    <w:jc w:val="center"/>
                    <w:rPr>
                      <w:rFonts w:ascii="Times New Roman" w:eastAsia="宋体" w:cs="Times New Roman"/>
                      <w:color w:val="auto"/>
                      <w:sz w:val="21"/>
                      <w:szCs w:val="21"/>
                    </w:rPr>
                  </w:pPr>
                  <w:r>
                    <w:rPr>
                      <w:rFonts w:ascii="Times New Roman" w:eastAsia="宋体" w:cs="Times New Roman"/>
                      <w:color w:val="auto"/>
                      <w:sz w:val="21"/>
                      <w:szCs w:val="21"/>
                    </w:rPr>
                    <w:t>本项目采用技术</w:t>
                  </w:r>
                </w:p>
              </w:tc>
            </w:tr>
            <w:tr w14:paraId="6E48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2" w:type="pct"/>
                  <w:vAlign w:val="center"/>
                </w:tcPr>
                <w:p w14:paraId="3E22865D">
                  <w:pPr>
                    <w:pStyle w:val="2"/>
                    <w:spacing w:line="240" w:lineRule="exact"/>
                    <w:jc w:val="center"/>
                    <w:rPr>
                      <w:rFonts w:hint="default" w:ascii="Times New Roman" w:eastAsia="宋体" w:cs="Times New Roman"/>
                      <w:color w:val="auto"/>
                      <w:sz w:val="21"/>
                      <w:szCs w:val="21"/>
                      <w:lang w:val="en-US" w:eastAsia="zh-CN"/>
                    </w:rPr>
                  </w:pPr>
                  <w:r>
                    <w:rPr>
                      <w:rFonts w:hint="eastAsia" w:ascii="Times New Roman" w:eastAsia="宋体" w:cs="Times New Roman"/>
                      <w:color w:val="auto"/>
                      <w:sz w:val="21"/>
                      <w:szCs w:val="21"/>
                      <w:lang w:val="en-US" w:eastAsia="zh-CN"/>
                    </w:rPr>
                    <w:t>粉料仓废气</w:t>
                  </w:r>
                </w:p>
              </w:tc>
              <w:tc>
                <w:tcPr>
                  <w:tcW w:w="903" w:type="pct"/>
                  <w:vAlign w:val="center"/>
                </w:tcPr>
                <w:p w14:paraId="0AA2D4E6">
                  <w:pPr>
                    <w:pStyle w:val="2"/>
                    <w:spacing w:line="240" w:lineRule="exact"/>
                    <w:jc w:val="center"/>
                    <w:rPr>
                      <w:rFonts w:hint="eastAsia" w:ascii="Times New Roman" w:eastAsia="宋体" w:cs="Times New Roman"/>
                      <w:color w:val="auto"/>
                      <w:sz w:val="21"/>
                      <w:szCs w:val="21"/>
                      <w:lang w:eastAsia="zh-CN"/>
                    </w:rPr>
                  </w:pPr>
                  <w:r>
                    <w:rPr>
                      <w:rFonts w:hint="eastAsia" w:ascii="Times New Roman" w:eastAsia="宋体" w:cs="Times New Roman"/>
                      <w:color w:val="auto"/>
                      <w:sz w:val="21"/>
                      <w:szCs w:val="21"/>
                      <w:lang w:val="en-US" w:eastAsia="zh-CN"/>
                    </w:rPr>
                    <w:t>颗粒物</w:t>
                  </w:r>
                </w:p>
              </w:tc>
              <w:tc>
                <w:tcPr>
                  <w:tcW w:w="1957" w:type="pct"/>
                  <w:vAlign w:val="center"/>
                </w:tcPr>
                <w:p w14:paraId="7F92D11C">
                  <w:pPr>
                    <w:pStyle w:val="2"/>
                    <w:spacing w:line="240" w:lineRule="exact"/>
                    <w:jc w:val="center"/>
                    <w:rPr>
                      <w:rFonts w:ascii="Times New Roman" w:eastAsia="宋体" w:cs="Times New Roman"/>
                      <w:color w:val="auto"/>
                      <w:sz w:val="21"/>
                      <w:szCs w:val="21"/>
                    </w:rPr>
                  </w:pPr>
                  <w:r>
                    <w:rPr>
                      <w:rFonts w:hint="eastAsia" w:ascii="Times New Roman" w:eastAsia="宋体" w:cs="Times New Roman"/>
                      <w:color w:val="auto"/>
                      <w:sz w:val="21"/>
                      <w:szCs w:val="21"/>
                    </w:rPr>
                    <w:t>布袋除尘、旋风除尘、静电除尘</w:t>
                  </w:r>
                </w:p>
              </w:tc>
              <w:tc>
                <w:tcPr>
                  <w:tcW w:w="1326" w:type="pct"/>
                  <w:vAlign w:val="center"/>
                </w:tcPr>
                <w:p w14:paraId="683871CF">
                  <w:pPr>
                    <w:pStyle w:val="2"/>
                    <w:spacing w:line="240" w:lineRule="exact"/>
                    <w:jc w:val="center"/>
                    <w:rPr>
                      <w:rFonts w:hint="default" w:ascii="Times New Roman" w:eastAsia="宋体" w:cs="Times New Roman"/>
                      <w:color w:val="auto"/>
                      <w:sz w:val="21"/>
                      <w:szCs w:val="21"/>
                      <w:lang w:val="en-US" w:eastAsia="zh-CN"/>
                    </w:rPr>
                  </w:pPr>
                  <w:r>
                    <w:rPr>
                      <w:rFonts w:ascii="Times New Roman" w:eastAsia="宋体" w:cs="Times New Roman"/>
                      <w:color w:val="auto"/>
                      <w:sz w:val="21"/>
                      <w:szCs w:val="21"/>
                    </w:rPr>
                    <w:t>本项目</w:t>
                  </w:r>
                  <w:r>
                    <w:rPr>
                      <w:rFonts w:hint="eastAsia" w:ascii="Times New Roman" w:eastAsia="宋体" w:cs="Times New Roman"/>
                      <w:color w:val="auto"/>
                      <w:sz w:val="21"/>
                      <w:szCs w:val="21"/>
                    </w:rPr>
                    <w:t>采用集气罩收集</w:t>
                  </w:r>
                  <w:r>
                    <w:rPr>
                      <w:rFonts w:hint="eastAsia" w:ascii="Times New Roman" w:eastAsia="宋体" w:cs="Times New Roman"/>
                      <w:color w:val="auto"/>
                      <w:sz w:val="21"/>
                      <w:szCs w:val="21"/>
                      <w:lang w:val="en-US" w:eastAsia="zh-CN"/>
                    </w:rPr>
                    <w:t>+布袋除尘器处理+15m高排气筒DA001排放</w:t>
                  </w:r>
                </w:p>
              </w:tc>
            </w:tr>
          </w:tbl>
          <w:p w14:paraId="314B7C5C">
            <w:pPr>
              <w:spacing w:line="520" w:lineRule="exact"/>
              <w:ind w:firstLine="480" w:firstLineChars="200"/>
              <w:rPr>
                <w:color w:val="auto"/>
                <w:sz w:val="24"/>
              </w:rPr>
            </w:pPr>
            <w:r>
              <w:rPr>
                <w:rFonts w:hint="eastAsia"/>
                <w:snapToGrid w:val="0"/>
                <w:color w:val="auto"/>
                <w:kern w:val="0"/>
                <w:sz w:val="24"/>
                <w:lang w:eastAsia="zh-Hans"/>
              </w:rPr>
              <w:t>以上所使用技术</w:t>
            </w:r>
            <w:r>
              <w:rPr>
                <w:rFonts w:hint="eastAsia" w:ascii="宋体" w:hAnsi="宋体"/>
                <w:color w:val="auto"/>
                <w:sz w:val="24"/>
              </w:rPr>
              <w:t>均属于可行技术。</w:t>
            </w:r>
          </w:p>
          <w:p w14:paraId="2EA65416">
            <w:pPr>
              <w:spacing w:line="500" w:lineRule="exact"/>
              <w:ind w:firstLine="480" w:firstLineChars="200"/>
              <w:rPr>
                <w:snapToGrid w:val="0"/>
                <w:color w:val="auto"/>
                <w:kern w:val="0"/>
                <w:sz w:val="24"/>
              </w:rPr>
            </w:pPr>
            <w:r>
              <w:rPr>
                <w:rFonts w:hint="eastAsia"/>
                <w:snapToGrid w:val="0"/>
                <w:color w:val="auto"/>
                <w:kern w:val="0"/>
                <w:sz w:val="24"/>
              </w:rPr>
              <w:t>3、</w:t>
            </w:r>
            <w:r>
              <w:rPr>
                <w:rFonts w:hint="eastAsia"/>
                <w:snapToGrid w:val="0"/>
                <w:color w:val="auto"/>
                <w:kern w:val="0"/>
                <w:sz w:val="24"/>
                <w:lang w:eastAsia="zh-CN"/>
              </w:rPr>
              <w:t>废气污染源</w:t>
            </w:r>
            <w:r>
              <w:rPr>
                <w:snapToGrid w:val="0"/>
                <w:color w:val="auto"/>
                <w:kern w:val="0"/>
                <w:sz w:val="24"/>
              </w:rPr>
              <w:t>监测计划</w:t>
            </w:r>
          </w:p>
          <w:p w14:paraId="65DA99A3">
            <w:pPr>
              <w:spacing w:line="500" w:lineRule="atLeast"/>
              <w:ind w:firstLine="480" w:firstLineChars="200"/>
              <w:rPr>
                <w:snapToGrid w:val="0"/>
                <w:color w:val="auto"/>
                <w:kern w:val="0"/>
                <w:sz w:val="24"/>
              </w:rPr>
            </w:pPr>
            <w:r>
              <w:rPr>
                <w:rFonts w:hint="eastAsia"/>
                <w:color w:val="auto"/>
                <w:sz w:val="24"/>
              </w:rPr>
              <w:t>根据《排污单位自行监测技术指南 总则》（</w:t>
            </w:r>
            <w:r>
              <w:rPr>
                <w:color w:val="auto"/>
                <w:sz w:val="24"/>
              </w:rPr>
              <w:t>HJ 819-2017</w:t>
            </w:r>
            <w:r>
              <w:rPr>
                <w:rFonts w:hint="eastAsia"/>
                <w:color w:val="auto"/>
                <w:sz w:val="24"/>
              </w:rPr>
              <w:t>）、</w:t>
            </w:r>
            <w:r>
              <w:rPr>
                <w:rFonts w:hint="eastAsia"/>
                <w:snapToGrid w:val="0"/>
                <w:color w:val="auto"/>
                <w:kern w:val="0"/>
                <w:sz w:val="24"/>
              </w:rPr>
              <w:t>《排污许可证申请与核发技术规范石墨及其他非金属矿物制品制造》（HJ1119—2020）</w:t>
            </w:r>
            <w:r>
              <w:rPr>
                <w:rFonts w:hint="eastAsia"/>
                <w:color w:val="auto"/>
                <w:sz w:val="24"/>
                <w:lang w:val="en-US" w:eastAsia="zh-CN"/>
              </w:rPr>
              <w:t>自行监测管理要求</w:t>
            </w:r>
            <w:r>
              <w:rPr>
                <w:rFonts w:hint="eastAsia"/>
                <w:snapToGrid w:val="0"/>
                <w:color w:val="auto"/>
                <w:kern w:val="0"/>
                <w:sz w:val="24"/>
              </w:rPr>
              <w:t>，</w:t>
            </w:r>
            <w:r>
              <w:rPr>
                <w:rFonts w:hint="eastAsia"/>
                <w:color w:val="auto"/>
                <w:sz w:val="24"/>
              </w:rPr>
              <w:t>本项目污染源监测计划见下表：</w:t>
            </w:r>
          </w:p>
          <w:p w14:paraId="772880AF">
            <w:pPr>
              <w:tabs>
                <w:tab w:val="left" w:pos="1620"/>
              </w:tabs>
              <w:adjustRightInd w:val="0"/>
              <w:snapToGrid w:val="0"/>
              <w:spacing w:line="500" w:lineRule="atLeast"/>
              <w:ind w:firstLine="482" w:firstLineChars="200"/>
              <w:jc w:val="center"/>
              <w:rPr>
                <w:b/>
                <w:bCs/>
                <w:color w:val="auto"/>
                <w:kern w:val="28"/>
                <w:sz w:val="24"/>
              </w:rPr>
            </w:pPr>
            <w:r>
              <w:rPr>
                <w:b/>
                <w:bCs/>
                <w:color w:val="auto"/>
                <w:kern w:val="28"/>
                <w:sz w:val="24"/>
              </w:rPr>
              <w:t>表4-6   监测计划及</w:t>
            </w:r>
            <w:r>
              <w:rPr>
                <w:b/>
                <w:snapToGrid w:val="0"/>
                <w:color w:val="auto"/>
                <w:kern w:val="0"/>
                <w:sz w:val="24"/>
              </w:rPr>
              <w:t>记录</w:t>
            </w:r>
            <w:r>
              <w:rPr>
                <w:b/>
                <w:bCs/>
                <w:color w:val="auto"/>
                <w:kern w:val="28"/>
                <w:sz w:val="24"/>
              </w:rPr>
              <w:t>信息表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3"/>
              <w:gridCol w:w="978"/>
              <w:gridCol w:w="2152"/>
              <w:gridCol w:w="1133"/>
              <w:gridCol w:w="3931"/>
            </w:tblGrid>
            <w:tr w14:paraId="5EC7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02" w:type="pct"/>
                  <w:vAlign w:val="center"/>
                </w:tcPr>
                <w:p w14:paraId="768D0AC0">
                  <w:pPr>
                    <w:spacing w:line="240" w:lineRule="exact"/>
                    <w:ind w:left="-101" w:leftChars="-48" w:right="-80" w:rightChars="-38"/>
                    <w:jc w:val="center"/>
                    <w:rPr>
                      <w:color w:val="auto"/>
                      <w:kern w:val="24"/>
                      <w:szCs w:val="21"/>
                    </w:rPr>
                  </w:pPr>
                  <w:r>
                    <w:rPr>
                      <w:rFonts w:hint="eastAsia"/>
                      <w:color w:val="auto"/>
                      <w:kern w:val="24"/>
                      <w:szCs w:val="21"/>
                    </w:rPr>
                    <w:t>项目</w:t>
                  </w:r>
                </w:p>
              </w:tc>
              <w:tc>
                <w:tcPr>
                  <w:tcW w:w="371" w:type="pct"/>
                  <w:vAlign w:val="center"/>
                </w:tcPr>
                <w:p w14:paraId="77B47DAD">
                  <w:pPr>
                    <w:spacing w:line="240" w:lineRule="exact"/>
                    <w:jc w:val="center"/>
                    <w:rPr>
                      <w:color w:val="auto"/>
                      <w:kern w:val="24"/>
                      <w:szCs w:val="21"/>
                    </w:rPr>
                  </w:pPr>
                  <w:r>
                    <w:rPr>
                      <w:rFonts w:hint="eastAsia"/>
                      <w:color w:val="auto"/>
                      <w:kern w:val="24"/>
                      <w:szCs w:val="21"/>
                    </w:rPr>
                    <w:t>类别</w:t>
                  </w:r>
                </w:p>
              </w:tc>
              <w:tc>
                <w:tcPr>
                  <w:tcW w:w="516" w:type="pct"/>
                  <w:vAlign w:val="center"/>
                </w:tcPr>
                <w:p w14:paraId="0F7074F0">
                  <w:pPr>
                    <w:spacing w:line="240" w:lineRule="exact"/>
                    <w:ind w:left="-105" w:leftChars="-50" w:right="-105" w:rightChars="-50"/>
                    <w:jc w:val="center"/>
                    <w:rPr>
                      <w:color w:val="auto"/>
                      <w:kern w:val="24"/>
                      <w:szCs w:val="21"/>
                    </w:rPr>
                  </w:pPr>
                  <w:r>
                    <w:rPr>
                      <w:rFonts w:hint="eastAsia"/>
                      <w:color w:val="auto"/>
                      <w:kern w:val="24"/>
                      <w:szCs w:val="21"/>
                    </w:rPr>
                    <w:t>监测点位</w:t>
                  </w:r>
                </w:p>
              </w:tc>
              <w:tc>
                <w:tcPr>
                  <w:tcW w:w="1136" w:type="pct"/>
                  <w:vAlign w:val="center"/>
                </w:tcPr>
                <w:p w14:paraId="3DBEE946">
                  <w:pPr>
                    <w:spacing w:line="240" w:lineRule="exact"/>
                    <w:ind w:left="-107" w:leftChars="-51" w:right="-107" w:rightChars="-51"/>
                    <w:jc w:val="center"/>
                    <w:rPr>
                      <w:color w:val="auto"/>
                      <w:kern w:val="24"/>
                      <w:szCs w:val="21"/>
                    </w:rPr>
                  </w:pPr>
                  <w:r>
                    <w:rPr>
                      <w:rFonts w:hint="eastAsia"/>
                      <w:color w:val="auto"/>
                      <w:kern w:val="24"/>
                      <w:szCs w:val="21"/>
                    </w:rPr>
                    <w:t>监测项目</w:t>
                  </w:r>
                </w:p>
              </w:tc>
              <w:tc>
                <w:tcPr>
                  <w:tcW w:w="598" w:type="pct"/>
                  <w:vAlign w:val="center"/>
                </w:tcPr>
                <w:p w14:paraId="5C17CEB3">
                  <w:pPr>
                    <w:spacing w:line="240" w:lineRule="exact"/>
                    <w:ind w:left="-107" w:leftChars="-51" w:right="-105" w:rightChars="-50"/>
                    <w:jc w:val="center"/>
                    <w:rPr>
                      <w:color w:val="auto"/>
                      <w:kern w:val="24"/>
                      <w:szCs w:val="21"/>
                    </w:rPr>
                  </w:pPr>
                  <w:r>
                    <w:rPr>
                      <w:color w:val="auto"/>
                      <w:kern w:val="24"/>
                      <w:szCs w:val="21"/>
                    </w:rPr>
                    <w:t>监测频次</w:t>
                  </w:r>
                </w:p>
              </w:tc>
              <w:tc>
                <w:tcPr>
                  <w:tcW w:w="2075" w:type="pct"/>
                  <w:vAlign w:val="center"/>
                </w:tcPr>
                <w:p w14:paraId="6DC0128D">
                  <w:pPr>
                    <w:spacing w:line="240" w:lineRule="exact"/>
                    <w:jc w:val="center"/>
                    <w:rPr>
                      <w:color w:val="auto"/>
                      <w:kern w:val="24"/>
                      <w:szCs w:val="21"/>
                    </w:rPr>
                  </w:pPr>
                  <w:r>
                    <w:rPr>
                      <w:rFonts w:hint="eastAsia"/>
                      <w:color w:val="auto"/>
                      <w:kern w:val="24"/>
                      <w:szCs w:val="21"/>
                    </w:rPr>
                    <w:t>执行</w:t>
                  </w:r>
                  <w:r>
                    <w:rPr>
                      <w:color w:val="auto"/>
                      <w:kern w:val="24"/>
                      <w:szCs w:val="21"/>
                    </w:rPr>
                    <w:t>排放标准</w:t>
                  </w:r>
                </w:p>
              </w:tc>
            </w:tr>
            <w:tr w14:paraId="2345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2" w:type="pct"/>
                  <w:vMerge w:val="restart"/>
                  <w:vAlign w:val="center"/>
                </w:tcPr>
                <w:p w14:paraId="11105428">
                  <w:pPr>
                    <w:spacing w:line="240" w:lineRule="exact"/>
                    <w:ind w:left="-101" w:leftChars="-48" w:right="-80" w:rightChars="-38"/>
                    <w:jc w:val="center"/>
                    <w:rPr>
                      <w:color w:val="auto"/>
                      <w:kern w:val="24"/>
                      <w:szCs w:val="21"/>
                    </w:rPr>
                  </w:pPr>
                  <w:r>
                    <w:rPr>
                      <w:rFonts w:hint="eastAsia"/>
                      <w:color w:val="auto"/>
                      <w:kern w:val="24"/>
                      <w:szCs w:val="21"/>
                    </w:rPr>
                    <w:t>废气</w:t>
                  </w:r>
                </w:p>
              </w:tc>
              <w:tc>
                <w:tcPr>
                  <w:tcW w:w="371" w:type="pct"/>
                  <w:vMerge w:val="restart"/>
                  <w:vAlign w:val="center"/>
                </w:tcPr>
                <w:p w14:paraId="5EBE8BC3">
                  <w:pPr>
                    <w:spacing w:line="240" w:lineRule="exact"/>
                    <w:ind w:left="-134" w:leftChars="-64" w:right="-164" w:rightChars="-78"/>
                    <w:jc w:val="center"/>
                    <w:rPr>
                      <w:color w:val="auto"/>
                      <w:kern w:val="24"/>
                      <w:szCs w:val="21"/>
                    </w:rPr>
                  </w:pPr>
                  <w:r>
                    <w:rPr>
                      <w:color w:val="auto"/>
                      <w:kern w:val="24"/>
                      <w:szCs w:val="21"/>
                    </w:rPr>
                    <w:t>有组织</w:t>
                  </w:r>
                </w:p>
              </w:tc>
              <w:tc>
                <w:tcPr>
                  <w:tcW w:w="516" w:type="pct"/>
                  <w:vMerge w:val="restart"/>
                  <w:vAlign w:val="center"/>
                </w:tcPr>
                <w:p w14:paraId="1402ED0F">
                  <w:pPr>
                    <w:spacing w:line="240" w:lineRule="exact"/>
                    <w:jc w:val="center"/>
                    <w:rPr>
                      <w:snapToGrid w:val="0"/>
                      <w:color w:val="auto"/>
                      <w:kern w:val="24"/>
                      <w:szCs w:val="21"/>
                    </w:rPr>
                  </w:pPr>
                  <w:r>
                    <w:rPr>
                      <w:snapToGrid w:val="0"/>
                      <w:color w:val="auto"/>
                      <w:kern w:val="24"/>
                      <w:szCs w:val="21"/>
                    </w:rPr>
                    <w:t>DA001</w:t>
                  </w:r>
                </w:p>
              </w:tc>
              <w:tc>
                <w:tcPr>
                  <w:tcW w:w="1136" w:type="pct"/>
                  <w:vAlign w:val="center"/>
                </w:tcPr>
                <w:p w14:paraId="1C137C52">
                  <w:pPr>
                    <w:spacing w:line="240" w:lineRule="exact"/>
                    <w:jc w:val="center"/>
                    <w:rPr>
                      <w:snapToGrid w:val="0"/>
                      <w:color w:val="auto"/>
                      <w:kern w:val="24"/>
                      <w:szCs w:val="21"/>
                    </w:rPr>
                  </w:pPr>
                  <w:r>
                    <w:rPr>
                      <w:rFonts w:hint="eastAsia"/>
                      <w:color w:val="auto"/>
                      <w:kern w:val="24"/>
                      <w:szCs w:val="21"/>
                    </w:rPr>
                    <w:t>颗粒物</w:t>
                  </w:r>
                </w:p>
              </w:tc>
              <w:tc>
                <w:tcPr>
                  <w:tcW w:w="598" w:type="pct"/>
                  <w:vAlign w:val="center"/>
                </w:tcPr>
                <w:p w14:paraId="5F2D748E">
                  <w:pPr>
                    <w:spacing w:line="240" w:lineRule="exact"/>
                    <w:jc w:val="center"/>
                    <w:rPr>
                      <w:snapToGrid w:val="0"/>
                      <w:color w:val="auto"/>
                      <w:kern w:val="24"/>
                      <w:szCs w:val="21"/>
                    </w:rPr>
                  </w:pPr>
                  <w:r>
                    <w:rPr>
                      <w:snapToGrid w:val="0"/>
                      <w:color w:val="auto"/>
                      <w:kern w:val="24"/>
                      <w:szCs w:val="21"/>
                    </w:rPr>
                    <w:t>1次/</w:t>
                  </w:r>
                  <w:r>
                    <w:rPr>
                      <w:rFonts w:hint="eastAsia"/>
                      <w:snapToGrid w:val="0"/>
                      <w:color w:val="auto"/>
                      <w:kern w:val="24"/>
                      <w:szCs w:val="21"/>
                      <w:lang w:val="en-US" w:eastAsia="zh-CN"/>
                    </w:rPr>
                    <w:t>半</w:t>
                  </w:r>
                  <w:r>
                    <w:rPr>
                      <w:snapToGrid w:val="0"/>
                      <w:color w:val="auto"/>
                      <w:kern w:val="24"/>
                      <w:szCs w:val="21"/>
                    </w:rPr>
                    <w:t>年</w:t>
                  </w:r>
                </w:p>
              </w:tc>
              <w:tc>
                <w:tcPr>
                  <w:tcW w:w="2075" w:type="pct"/>
                  <w:vMerge w:val="restart"/>
                  <w:vAlign w:val="center"/>
                </w:tcPr>
                <w:p w14:paraId="4BEB4E99">
                  <w:pPr>
                    <w:spacing w:line="240" w:lineRule="exact"/>
                    <w:jc w:val="center"/>
                    <w:rPr>
                      <w:color w:val="auto"/>
                      <w:szCs w:val="21"/>
                    </w:rPr>
                  </w:pPr>
                  <w:r>
                    <w:rPr>
                      <w:rFonts w:hint="eastAsia" w:ascii="宋体" w:hAnsi="宋体"/>
                      <w:color w:val="auto"/>
                      <w:kern w:val="0"/>
                      <w:szCs w:val="21"/>
                    </w:rPr>
                    <w:t>《大气污染物综合排放标准》（</w:t>
                  </w:r>
                  <w:r>
                    <w:rPr>
                      <w:color w:val="auto"/>
                      <w:kern w:val="0"/>
                      <w:szCs w:val="21"/>
                    </w:rPr>
                    <w:t>GB16297-1996</w:t>
                  </w:r>
                  <w:r>
                    <w:rPr>
                      <w:rFonts w:hint="eastAsia" w:ascii="宋体" w:hAnsi="宋体"/>
                      <w:color w:val="auto"/>
                      <w:kern w:val="0"/>
                      <w:szCs w:val="21"/>
                    </w:rPr>
                    <w:t>）表</w:t>
                  </w:r>
                  <w:r>
                    <w:rPr>
                      <w:color w:val="auto"/>
                      <w:kern w:val="0"/>
                      <w:szCs w:val="21"/>
                    </w:rPr>
                    <w:t>2</w:t>
                  </w:r>
                  <w:r>
                    <w:rPr>
                      <w:rFonts w:hint="eastAsia" w:ascii="宋体" w:hAnsi="宋体"/>
                      <w:color w:val="auto"/>
                      <w:kern w:val="0"/>
                      <w:szCs w:val="21"/>
                    </w:rPr>
                    <w:t>新污染源大气污染物排放限值</w:t>
                  </w:r>
                </w:p>
              </w:tc>
            </w:tr>
            <w:tr w14:paraId="5213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02" w:type="pct"/>
                  <w:vMerge w:val="continue"/>
                  <w:vAlign w:val="center"/>
                </w:tcPr>
                <w:p w14:paraId="02808FF5">
                  <w:pPr>
                    <w:spacing w:line="240" w:lineRule="exact"/>
                    <w:jc w:val="center"/>
                    <w:rPr>
                      <w:color w:val="auto"/>
                      <w:kern w:val="24"/>
                      <w:szCs w:val="21"/>
                    </w:rPr>
                  </w:pPr>
                </w:p>
              </w:tc>
              <w:tc>
                <w:tcPr>
                  <w:tcW w:w="371" w:type="pct"/>
                  <w:vAlign w:val="center"/>
                </w:tcPr>
                <w:p w14:paraId="2987E594">
                  <w:pPr>
                    <w:spacing w:line="240" w:lineRule="exact"/>
                    <w:ind w:left="-134" w:leftChars="-64" w:right="-164" w:rightChars="-78"/>
                    <w:jc w:val="center"/>
                    <w:rPr>
                      <w:snapToGrid w:val="0"/>
                      <w:color w:val="auto"/>
                      <w:kern w:val="24"/>
                      <w:szCs w:val="21"/>
                    </w:rPr>
                  </w:pPr>
                  <w:r>
                    <w:rPr>
                      <w:rFonts w:hint="eastAsia"/>
                      <w:snapToGrid w:val="0"/>
                      <w:color w:val="auto"/>
                      <w:kern w:val="24"/>
                      <w:szCs w:val="21"/>
                    </w:rPr>
                    <w:t>无组织</w:t>
                  </w:r>
                </w:p>
              </w:tc>
              <w:tc>
                <w:tcPr>
                  <w:tcW w:w="516" w:type="pct"/>
                  <w:vAlign w:val="center"/>
                </w:tcPr>
                <w:p w14:paraId="3D6335A3">
                  <w:pPr>
                    <w:spacing w:line="240" w:lineRule="exact"/>
                    <w:jc w:val="center"/>
                    <w:rPr>
                      <w:snapToGrid w:val="0"/>
                      <w:color w:val="auto"/>
                      <w:kern w:val="24"/>
                      <w:szCs w:val="21"/>
                    </w:rPr>
                  </w:pPr>
                  <w:r>
                    <w:rPr>
                      <w:rFonts w:hint="eastAsia"/>
                      <w:snapToGrid w:val="0"/>
                      <w:color w:val="auto"/>
                      <w:kern w:val="24"/>
                      <w:szCs w:val="21"/>
                    </w:rPr>
                    <w:t>厂界</w:t>
                  </w:r>
                </w:p>
              </w:tc>
              <w:tc>
                <w:tcPr>
                  <w:tcW w:w="1136" w:type="pct"/>
                  <w:vAlign w:val="center"/>
                </w:tcPr>
                <w:p w14:paraId="53B64E55">
                  <w:pPr>
                    <w:spacing w:line="240" w:lineRule="exact"/>
                    <w:ind w:left="-162" w:leftChars="-77" w:right="-103" w:rightChars="-49"/>
                    <w:jc w:val="center"/>
                    <w:rPr>
                      <w:color w:val="auto"/>
                      <w:kern w:val="24"/>
                      <w:szCs w:val="21"/>
                    </w:rPr>
                  </w:pPr>
                  <w:r>
                    <w:rPr>
                      <w:rFonts w:hint="eastAsia"/>
                      <w:color w:val="auto"/>
                      <w:kern w:val="24"/>
                      <w:szCs w:val="21"/>
                    </w:rPr>
                    <w:t>颗粒物</w:t>
                  </w:r>
                </w:p>
              </w:tc>
              <w:tc>
                <w:tcPr>
                  <w:tcW w:w="598" w:type="pct"/>
                  <w:vAlign w:val="center"/>
                </w:tcPr>
                <w:p w14:paraId="00276737">
                  <w:pPr>
                    <w:spacing w:line="240" w:lineRule="exact"/>
                    <w:jc w:val="center"/>
                    <w:rPr>
                      <w:snapToGrid w:val="0"/>
                      <w:color w:val="auto"/>
                      <w:kern w:val="24"/>
                      <w:szCs w:val="21"/>
                    </w:rPr>
                  </w:pPr>
                  <w:r>
                    <w:rPr>
                      <w:snapToGrid w:val="0"/>
                      <w:color w:val="auto"/>
                      <w:kern w:val="24"/>
                      <w:szCs w:val="21"/>
                    </w:rPr>
                    <w:t>1次/</w:t>
                  </w:r>
                  <w:r>
                    <w:rPr>
                      <w:rFonts w:hint="eastAsia"/>
                      <w:snapToGrid w:val="0"/>
                      <w:color w:val="auto"/>
                      <w:kern w:val="24"/>
                      <w:szCs w:val="21"/>
                    </w:rPr>
                    <w:t>半</w:t>
                  </w:r>
                  <w:r>
                    <w:rPr>
                      <w:snapToGrid w:val="0"/>
                      <w:color w:val="auto"/>
                      <w:kern w:val="24"/>
                      <w:szCs w:val="21"/>
                    </w:rPr>
                    <w:t>年</w:t>
                  </w:r>
                </w:p>
              </w:tc>
              <w:tc>
                <w:tcPr>
                  <w:tcW w:w="2075" w:type="pct"/>
                  <w:vMerge w:val="continue"/>
                  <w:vAlign w:val="center"/>
                </w:tcPr>
                <w:p w14:paraId="027C0CF6">
                  <w:pPr>
                    <w:spacing w:line="240" w:lineRule="exact"/>
                    <w:jc w:val="center"/>
                    <w:rPr>
                      <w:color w:val="auto"/>
                      <w:szCs w:val="21"/>
                    </w:rPr>
                  </w:pPr>
                </w:p>
              </w:tc>
            </w:tr>
          </w:tbl>
          <w:p w14:paraId="15F644CA">
            <w:pPr>
              <w:spacing w:line="500" w:lineRule="exact"/>
              <w:ind w:firstLine="480" w:firstLineChars="200"/>
              <w:rPr>
                <w:snapToGrid w:val="0"/>
                <w:color w:val="auto"/>
                <w:kern w:val="0"/>
                <w:sz w:val="24"/>
              </w:rPr>
            </w:pPr>
            <w:r>
              <w:rPr>
                <w:snapToGrid w:val="0"/>
                <w:color w:val="auto"/>
                <w:kern w:val="0"/>
                <w:sz w:val="24"/>
              </w:rPr>
              <w:t>4</w:t>
            </w:r>
            <w:r>
              <w:rPr>
                <w:rFonts w:hint="eastAsia"/>
                <w:snapToGrid w:val="0"/>
                <w:color w:val="auto"/>
                <w:kern w:val="0"/>
                <w:sz w:val="24"/>
              </w:rPr>
              <w:t>、非正常工况</w:t>
            </w:r>
          </w:p>
          <w:p w14:paraId="4F110FAA">
            <w:pPr>
              <w:spacing w:line="500" w:lineRule="exact"/>
              <w:ind w:firstLine="480" w:firstLineChars="200"/>
              <w:rPr>
                <w:color w:val="auto"/>
                <w:sz w:val="24"/>
              </w:rPr>
            </w:pPr>
            <w:r>
              <w:rPr>
                <w:color w:val="auto"/>
                <w:sz w:val="24"/>
              </w:rPr>
              <w:t>本项目的非正常工况主要是污染物排放控制措施达不到应有的去除效率，</w:t>
            </w:r>
            <w:r>
              <w:rPr>
                <w:rFonts w:hint="default" w:ascii="Times New Roman" w:eastAsia="宋体" w:cs="Times New Roman"/>
                <w:color w:val="auto"/>
                <w:sz w:val="24"/>
                <w:szCs w:val="24"/>
              </w:rPr>
              <w:t>集气罩收集</w:t>
            </w:r>
            <w:r>
              <w:rPr>
                <w:rFonts w:hint="default" w:ascii="Times New Roman" w:eastAsia="宋体" w:cs="Times New Roman"/>
                <w:color w:val="auto"/>
                <w:sz w:val="24"/>
                <w:szCs w:val="24"/>
                <w:lang w:val="en-US" w:eastAsia="zh-CN"/>
              </w:rPr>
              <w:t>+布袋除尘器处理</w:t>
            </w:r>
            <w:r>
              <w:rPr>
                <w:rFonts w:hint="eastAsia"/>
                <w:color w:val="auto"/>
                <w:sz w:val="24"/>
              </w:rPr>
              <w:t>，</w:t>
            </w:r>
            <w:r>
              <w:rPr>
                <w:color w:val="auto"/>
                <w:sz w:val="24"/>
              </w:rPr>
              <w:t>其排放情况如下表所示。</w:t>
            </w:r>
          </w:p>
          <w:p w14:paraId="34A6F6A2">
            <w:pPr>
              <w:tabs>
                <w:tab w:val="left" w:pos="3235"/>
              </w:tabs>
              <w:spacing w:line="500" w:lineRule="exact"/>
              <w:jc w:val="center"/>
              <w:rPr>
                <w:b/>
                <w:bCs/>
                <w:color w:val="auto"/>
                <w:spacing w:val="-1"/>
                <w:sz w:val="24"/>
              </w:rPr>
            </w:pPr>
            <w:r>
              <w:rPr>
                <w:b/>
                <w:bCs/>
                <w:color w:val="auto"/>
                <w:sz w:val="24"/>
              </w:rPr>
              <w:t>表</w:t>
            </w:r>
            <w:r>
              <w:rPr>
                <w:rFonts w:eastAsia="Times New Roman"/>
                <w:b/>
                <w:bCs/>
                <w:color w:val="auto"/>
                <w:spacing w:val="-1"/>
                <w:sz w:val="24"/>
              </w:rPr>
              <w:t xml:space="preserve">4-7 </w:t>
            </w:r>
            <w:r>
              <w:rPr>
                <w:b/>
                <w:bCs/>
                <w:color w:val="auto"/>
                <w:spacing w:val="-1"/>
                <w:sz w:val="24"/>
              </w:rPr>
              <w:t>非正常工况</w:t>
            </w:r>
            <w:r>
              <w:rPr>
                <w:rFonts w:hint="eastAsia"/>
                <w:b/>
                <w:bCs/>
                <w:color w:val="auto"/>
                <w:spacing w:val="-1"/>
                <w:sz w:val="24"/>
              </w:rPr>
              <w:t>有组织</w:t>
            </w:r>
            <w:r>
              <w:rPr>
                <w:b/>
                <w:bCs/>
                <w:color w:val="auto"/>
                <w:spacing w:val="-1"/>
                <w:sz w:val="24"/>
              </w:rPr>
              <w:t>废气排放情况</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669"/>
              <w:gridCol w:w="2077"/>
              <w:gridCol w:w="692"/>
              <w:gridCol w:w="622"/>
              <w:gridCol w:w="993"/>
              <w:gridCol w:w="857"/>
              <w:gridCol w:w="849"/>
              <w:gridCol w:w="993"/>
              <w:gridCol w:w="949"/>
            </w:tblGrid>
            <w:tr w14:paraId="1ABB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06" w:type="pct"/>
                  <w:vMerge w:val="restart"/>
                  <w:vAlign w:val="center"/>
                </w:tcPr>
                <w:p w14:paraId="33AEAC73">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污染源</w:t>
                  </w:r>
                </w:p>
              </w:tc>
              <w:tc>
                <w:tcPr>
                  <w:tcW w:w="353" w:type="pct"/>
                  <w:vMerge w:val="restart"/>
                  <w:vAlign w:val="center"/>
                </w:tcPr>
                <w:p w14:paraId="724B9883">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污染物名称</w:t>
                  </w:r>
                </w:p>
              </w:tc>
              <w:tc>
                <w:tcPr>
                  <w:tcW w:w="1096" w:type="pct"/>
                  <w:vMerge w:val="restart"/>
                  <w:vAlign w:val="center"/>
                </w:tcPr>
                <w:p w14:paraId="1B5F0E4E">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非正常排放原因</w:t>
                  </w:r>
                </w:p>
              </w:tc>
              <w:tc>
                <w:tcPr>
                  <w:tcW w:w="1669" w:type="pct"/>
                  <w:gridSpan w:val="4"/>
                  <w:vAlign w:val="center"/>
                </w:tcPr>
                <w:p w14:paraId="4F183C05">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非正常排放状况</w:t>
                  </w:r>
                </w:p>
              </w:tc>
              <w:tc>
                <w:tcPr>
                  <w:tcW w:w="972" w:type="pct"/>
                  <w:gridSpan w:val="2"/>
                  <w:vAlign w:val="center"/>
                </w:tcPr>
                <w:p w14:paraId="21C4893B">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执行标准</w:t>
                  </w:r>
                </w:p>
              </w:tc>
              <w:tc>
                <w:tcPr>
                  <w:tcW w:w="501" w:type="pct"/>
                  <w:vMerge w:val="restart"/>
                  <w:vAlign w:val="center"/>
                </w:tcPr>
                <w:p w14:paraId="0F04AE38">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达标</w:t>
                  </w:r>
                </w:p>
                <w:p w14:paraId="21BCA4DC">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分析</w:t>
                  </w:r>
                </w:p>
              </w:tc>
            </w:tr>
            <w:tr w14:paraId="246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06" w:type="pct"/>
                  <w:vMerge w:val="continue"/>
                  <w:vAlign w:val="center"/>
                </w:tcPr>
                <w:p w14:paraId="6D7CED39">
                  <w:pPr>
                    <w:widowControl/>
                    <w:jc w:val="left"/>
                    <w:rPr>
                      <w:color w:val="auto"/>
                      <w:kern w:val="0"/>
                      <w:szCs w:val="21"/>
                    </w:rPr>
                  </w:pPr>
                </w:p>
              </w:tc>
              <w:tc>
                <w:tcPr>
                  <w:tcW w:w="353" w:type="pct"/>
                  <w:vMerge w:val="continue"/>
                  <w:vAlign w:val="center"/>
                </w:tcPr>
                <w:p w14:paraId="4F695419">
                  <w:pPr>
                    <w:widowControl/>
                    <w:jc w:val="left"/>
                    <w:rPr>
                      <w:color w:val="auto"/>
                      <w:kern w:val="0"/>
                      <w:szCs w:val="21"/>
                    </w:rPr>
                  </w:pPr>
                </w:p>
              </w:tc>
              <w:tc>
                <w:tcPr>
                  <w:tcW w:w="1096" w:type="pct"/>
                  <w:vMerge w:val="continue"/>
                  <w:vAlign w:val="center"/>
                </w:tcPr>
                <w:p w14:paraId="562302E5">
                  <w:pPr>
                    <w:widowControl/>
                    <w:jc w:val="center"/>
                    <w:rPr>
                      <w:color w:val="auto"/>
                      <w:kern w:val="0"/>
                      <w:szCs w:val="21"/>
                    </w:rPr>
                  </w:pPr>
                </w:p>
              </w:tc>
              <w:tc>
                <w:tcPr>
                  <w:tcW w:w="365" w:type="pct"/>
                  <w:vAlign w:val="center"/>
                </w:tcPr>
                <w:p w14:paraId="4147363C">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浓度</w:t>
                  </w:r>
                  <w:r>
                    <w:rPr>
                      <w:rFonts w:ascii="Times New Roman" w:hAnsi="Times New Roman" w:cs="Times New Roman"/>
                      <w:color w:val="auto"/>
                      <w:spacing w:val="-14"/>
                      <w:sz w:val="21"/>
                      <w:szCs w:val="21"/>
                    </w:rPr>
                    <w:t>(mg/m</w:t>
                  </w:r>
                  <w:r>
                    <w:rPr>
                      <w:rFonts w:ascii="Times New Roman" w:hAnsi="Times New Roman" w:cs="Times New Roman"/>
                      <w:color w:val="auto"/>
                      <w:spacing w:val="-14"/>
                      <w:sz w:val="21"/>
                      <w:szCs w:val="21"/>
                      <w:vertAlign w:val="superscript"/>
                    </w:rPr>
                    <w:t>3</w:t>
                  </w:r>
                  <w:r>
                    <w:rPr>
                      <w:rFonts w:ascii="Times New Roman" w:hAnsi="Times New Roman" w:cs="Times New Roman"/>
                      <w:color w:val="auto"/>
                      <w:spacing w:val="-14"/>
                      <w:sz w:val="21"/>
                      <w:szCs w:val="21"/>
                    </w:rPr>
                    <w:t>)</w:t>
                  </w:r>
                </w:p>
              </w:tc>
              <w:tc>
                <w:tcPr>
                  <w:tcW w:w="328" w:type="pct"/>
                  <w:vAlign w:val="center"/>
                </w:tcPr>
                <w:p w14:paraId="7671E4BA">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速率</w:t>
                  </w:r>
                  <w:r>
                    <w:rPr>
                      <w:rFonts w:ascii="Times New Roman" w:hAnsi="Times New Roman" w:cs="Times New Roman"/>
                      <w:color w:val="auto"/>
                      <w:sz w:val="21"/>
                      <w:szCs w:val="21"/>
                    </w:rPr>
                    <w:t>(kg/h)</w:t>
                  </w:r>
                </w:p>
              </w:tc>
              <w:tc>
                <w:tcPr>
                  <w:tcW w:w="524" w:type="pct"/>
                  <w:vAlign w:val="center"/>
                </w:tcPr>
                <w:p w14:paraId="205B7625">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频次及持续时间</w:t>
                  </w:r>
                </w:p>
              </w:tc>
              <w:tc>
                <w:tcPr>
                  <w:tcW w:w="451" w:type="pct"/>
                  <w:vAlign w:val="center"/>
                </w:tcPr>
                <w:p w14:paraId="62F955C5">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排放量</w:t>
                  </w:r>
                  <w:r>
                    <w:rPr>
                      <w:rFonts w:ascii="Times New Roman" w:hAnsi="Times New Roman" w:cs="Times New Roman"/>
                      <w:color w:val="auto"/>
                      <w:spacing w:val="-20"/>
                      <w:sz w:val="21"/>
                      <w:szCs w:val="21"/>
                    </w:rPr>
                    <w:t>(</w:t>
                  </w:r>
                  <w:r>
                    <w:rPr>
                      <w:rFonts w:ascii="Times New Roman" w:hAnsi="Times New Roman" w:cs="Times New Roman"/>
                      <w:color w:val="auto"/>
                      <w:sz w:val="21"/>
                      <w:szCs w:val="21"/>
                    </w:rPr>
                    <w:t>kg/a)</w:t>
                  </w:r>
                </w:p>
              </w:tc>
              <w:tc>
                <w:tcPr>
                  <w:tcW w:w="448" w:type="pct"/>
                  <w:vAlign w:val="center"/>
                </w:tcPr>
                <w:p w14:paraId="3E5C6E19">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浓度限值</w:t>
                  </w:r>
                  <w:r>
                    <w:rPr>
                      <w:rFonts w:ascii="Times New Roman" w:hAnsi="Times New Roman" w:cs="Times New Roman"/>
                      <w:color w:val="auto"/>
                      <w:sz w:val="21"/>
                      <w:szCs w:val="21"/>
                    </w:rPr>
                    <w:t>(</w:t>
                  </w:r>
                  <w:r>
                    <w:rPr>
                      <w:rFonts w:ascii="Times New Roman" w:hAnsi="Times New Roman" w:cs="Times New Roman"/>
                      <w:color w:val="auto"/>
                      <w:spacing w:val="6"/>
                      <w:sz w:val="21"/>
                      <w:szCs w:val="21"/>
                    </w:rPr>
                    <w:t>mg/m</w:t>
                  </w:r>
                  <w:r>
                    <w:rPr>
                      <w:rFonts w:ascii="Times New Roman" w:hAnsi="Times New Roman" w:cs="Times New Roman"/>
                      <w:color w:val="auto"/>
                      <w:spacing w:val="6"/>
                      <w:sz w:val="21"/>
                      <w:szCs w:val="21"/>
                      <w:vertAlign w:val="superscript"/>
                    </w:rPr>
                    <w:t>3</w:t>
                  </w:r>
                  <w:r>
                    <w:rPr>
                      <w:rFonts w:ascii="Times New Roman" w:hAnsi="Times New Roman" w:cs="Times New Roman"/>
                      <w:color w:val="auto"/>
                      <w:sz w:val="21"/>
                      <w:szCs w:val="21"/>
                    </w:rPr>
                    <w:t>)</w:t>
                  </w:r>
                </w:p>
              </w:tc>
              <w:tc>
                <w:tcPr>
                  <w:tcW w:w="524" w:type="pct"/>
                  <w:vAlign w:val="center"/>
                </w:tcPr>
                <w:p w14:paraId="2901B90D">
                  <w:pPr>
                    <w:spacing w:line="240" w:lineRule="exact"/>
                    <w:jc w:val="center"/>
                    <w:rPr>
                      <w:rFonts w:ascii="Calibri" w:hAnsi="Calibri"/>
                      <w:color w:val="auto"/>
                      <w:szCs w:val="21"/>
                    </w:rPr>
                  </w:pPr>
                  <w:r>
                    <w:rPr>
                      <w:rFonts w:hint="eastAsia" w:ascii="宋体" w:hAnsi="宋体"/>
                      <w:color w:val="auto"/>
                    </w:rPr>
                    <w:t>速率限值</w:t>
                  </w:r>
                  <w:r>
                    <w:rPr>
                      <w:rFonts w:hint="eastAsia" w:ascii="宋体" w:hAnsi="宋体"/>
                      <w:color w:val="auto"/>
                      <w:kern w:val="0"/>
                    </w:rPr>
                    <w:t>（</w:t>
                  </w:r>
                  <w:r>
                    <w:rPr>
                      <w:color w:val="auto"/>
                      <w:kern w:val="0"/>
                    </w:rPr>
                    <w:t>kg/h</w:t>
                  </w:r>
                  <w:r>
                    <w:rPr>
                      <w:rFonts w:hint="eastAsia" w:ascii="宋体" w:hAnsi="宋体"/>
                      <w:color w:val="auto"/>
                      <w:kern w:val="0"/>
                    </w:rPr>
                    <w:t>）</w:t>
                  </w:r>
                </w:p>
              </w:tc>
              <w:tc>
                <w:tcPr>
                  <w:tcW w:w="501" w:type="pct"/>
                  <w:vMerge w:val="continue"/>
                  <w:vAlign w:val="center"/>
                </w:tcPr>
                <w:p w14:paraId="753621E5">
                  <w:pPr>
                    <w:widowControl/>
                    <w:jc w:val="left"/>
                    <w:rPr>
                      <w:color w:val="auto"/>
                      <w:kern w:val="0"/>
                      <w:szCs w:val="21"/>
                    </w:rPr>
                  </w:pPr>
                </w:p>
              </w:tc>
            </w:tr>
            <w:tr w14:paraId="4A76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406" w:type="pct"/>
                  <w:vAlign w:val="center"/>
                </w:tcPr>
                <w:p w14:paraId="6AF459B8">
                  <w:pPr>
                    <w:pStyle w:val="67"/>
                    <w:widowControl/>
                    <w:spacing w:line="240" w:lineRule="exact"/>
                    <w:jc w:val="center"/>
                    <w:rPr>
                      <w:rFonts w:ascii="Times New Roman" w:hAnsi="Times New Roman" w:cs="Times New Roman"/>
                      <w:color w:val="auto"/>
                      <w:sz w:val="21"/>
                      <w:szCs w:val="21"/>
                    </w:rPr>
                  </w:pPr>
                  <w:r>
                    <w:rPr>
                      <w:rFonts w:ascii="Times New Roman" w:hAnsi="Times New Roman" w:cs="Times New Roman"/>
                      <w:color w:val="auto"/>
                      <w:sz w:val="21"/>
                      <w:szCs w:val="21"/>
                    </w:rPr>
                    <w:t>DA001</w:t>
                  </w:r>
                </w:p>
                <w:p w14:paraId="1D6654C3">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排气筒</w:t>
                  </w:r>
                </w:p>
              </w:tc>
              <w:tc>
                <w:tcPr>
                  <w:tcW w:w="353" w:type="pct"/>
                  <w:vAlign w:val="center"/>
                </w:tcPr>
                <w:p w14:paraId="214917CD">
                  <w:pPr>
                    <w:pStyle w:val="67"/>
                    <w:widowControl/>
                    <w:spacing w:line="240" w:lineRule="exact"/>
                    <w:jc w:val="center"/>
                    <w:rPr>
                      <w:rFonts w:ascii="Times New Roman" w:hAnsi="Times New Roman" w:cs="Times New Roman"/>
                      <w:color w:val="auto"/>
                      <w:sz w:val="21"/>
                      <w:szCs w:val="21"/>
                    </w:rPr>
                  </w:pPr>
                  <w:r>
                    <w:rPr>
                      <w:rFonts w:hint="eastAsia" w:cs="Times New Roman"/>
                      <w:color w:val="auto"/>
                      <w:kern w:val="24"/>
                    </w:rPr>
                    <w:t>颗粒物</w:t>
                  </w:r>
                </w:p>
              </w:tc>
              <w:tc>
                <w:tcPr>
                  <w:tcW w:w="1096" w:type="pct"/>
                  <w:vAlign w:val="center"/>
                </w:tcPr>
                <w:p w14:paraId="1320D01E">
                  <w:pPr>
                    <w:pStyle w:val="67"/>
                    <w:widowControl/>
                    <w:spacing w:line="240" w:lineRule="exact"/>
                    <w:jc w:val="center"/>
                    <w:rPr>
                      <w:rFonts w:ascii="Times New Roman" w:hAnsi="Times New Roman" w:cs="Times New Roman"/>
                      <w:color w:val="auto"/>
                      <w:sz w:val="21"/>
                      <w:szCs w:val="21"/>
                    </w:rPr>
                  </w:pPr>
                  <w:r>
                    <w:rPr>
                      <w:rFonts w:hint="eastAsia" w:ascii="Times New Roman" w:eastAsia="宋体" w:cs="Times New Roman"/>
                      <w:color w:val="auto"/>
                      <w:sz w:val="21"/>
                      <w:szCs w:val="21"/>
                    </w:rPr>
                    <w:t>集气罩</w:t>
                  </w:r>
                  <w:r>
                    <w:rPr>
                      <w:rFonts w:hint="eastAsia" w:cs="Times New Roman"/>
                      <w:color w:val="auto"/>
                      <w:sz w:val="21"/>
                      <w:szCs w:val="21"/>
                    </w:rPr>
                    <w:t>故障，本报告设定去除效率为</w:t>
                  </w:r>
                  <w:r>
                    <w:rPr>
                      <w:rFonts w:ascii="Times New Roman" w:hAnsi="Times New Roman" w:cs="Times New Roman"/>
                      <w:color w:val="auto"/>
                      <w:sz w:val="21"/>
                      <w:szCs w:val="21"/>
                    </w:rPr>
                    <w:t>0</w:t>
                  </w:r>
                </w:p>
              </w:tc>
              <w:tc>
                <w:tcPr>
                  <w:tcW w:w="365" w:type="pct"/>
                  <w:vAlign w:val="center"/>
                </w:tcPr>
                <w:p w14:paraId="036E3516">
                  <w:pPr>
                    <w:ind w:left="-103" w:leftChars="-49" w:right="-143" w:rightChars="-68"/>
                    <w:jc w:val="center"/>
                    <w:rPr>
                      <w:rFonts w:ascii="Calibri" w:hAnsi="Calibri"/>
                      <w:color w:val="auto"/>
                      <w:szCs w:val="21"/>
                    </w:rPr>
                  </w:pPr>
                  <w:r>
                    <w:rPr>
                      <w:rFonts w:hint="eastAsia"/>
                      <w:color w:val="auto"/>
                      <w:lang w:val="en-US" w:eastAsia="zh-CN"/>
                    </w:rPr>
                    <w:t>41.6</w:t>
                  </w:r>
                </w:p>
              </w:tc>
              <w:tc>
                <w:tcPr>
                  <w:tcW w:w="328" w:type="pct"/>
                  <w:vAlign w:val="center"/>
                </w:tcPr>
                <w:p w14:paraId="5447619F">
                  <w:pPr>
                    <w:ind w:left="-103" w:leftChars="-49" w:right="-143" w:rightChars="-68"/>
                    <w:jc w:val="center"/>
                    <w:rPr>
                      <w:color w:val="auto"/>
                    </w:rPr>
                  </w:pPr>
                  <w:r>
                    <w:rPr>
                      <w:color w:val="auto"/>
                    </w:rPr>
                    <w:t>0.</w:t>
                  </w:r>
                  <w:r>
                    <w:rPr>
                      <w:rFonts w:hint="eastAsia"/>
                      <w:color w:val="auto"/>
                      <w:lang w:val="en-US" w:eastAsia="zh-CN"/>
                    </w:rPr>
                    <w:t>416</w:t>
                  </w:r>
                </w:p>
              </w:tc>
              <w:tc>
                <w:tcPr>
                  <w:tcW w:w="524" w:type="pct"/>
                  <w:vAlign w:val="center"/>
                </w:tcPr>
                <w:p w14:paraId="5E9259D8">
                  <w:pPr>
                    <w:pStyle w:val="67"/>
                    <w:widowControl/>
                    <w:spacing w:line="240" w:lineRule="exact"/>
                    <w:jc w:val="center"/>
                    <w:rPr>
                      <w:rFonts w:ascii="Times New Roman" w:hAnsi="Times New Roman" w:cs="Times New Roman"/>
                      <w:color w:val="auto"/>
                      <w:kern w:val="28"/>
                      <w:sz w:val="21"/>
                      <w:szCs w:val="21"/>
                    </w:rPr>
                  </w:pPr>
                  <w:r>
                    <w:rPr>
                      <w:rFonts w:ascii="Times New Roman" w:hAnsi="Times New Roman" w:cs="Times New Roman"/>
                      <w:color w:val="auto"/>
                      <w:kern w:val="28"/>
                      <w:sz w:val="21"/>
                      <w:szCs w:val="21"/>
                    </w:rPr>
                    <w:t>1</w:t>
                  </w:r>
                  <w:r>
                    <w:rPr>
                      <w:rFonts w:hint="eastAsia" w:cs="Times New Roman"/>
                      <w:color w:val="auto"/>
                      <w:kern w:val="28"/>
                      <w:sz w:val="21"/>
                      <w:szCs w:val="21"/>
                    </w:rPr>
                    <w:t>次</w:t>
                  </w:r>
                  <w:r>
                    <w:rPr>
                      <w:rFonts w:ascii="Times New Roman" w:hAnsi="Times New Roman" w:cs="Times New Roman"/>
                      <w:color w:val="auto"/>
                      <w:kern w:val="28"/>
                      <w:sz w:val="21"/>
                      <w:szCs w:val="21"/>
                    </w:rPr>
                    <w:t>/a</w:t>
                  </w:r>
                </w:p>
                <w:p w14:paraId="08C3BF05">
                  <w:pPr>
                    <w:pStyle w:val="67"/>
                    <w:widowControl/>
                    <w:spacing w:line="240" w:lineRule="exact"/>
                    <w:jc w:val="center"/>
                    <w:rPr>
                      <w:rFonts w:ascii="Times New Roman" w:hAnsi="Times New Roman" w:cs="Times New Roman"/>
                      <w:color w:val="auto"/>
                      <w:kern w:val="28"/>
                      <w:sz w:val="21"/>
                      <w:szCs w:val="21"/>
                    </w:rPr>
                  </w:pPr>
                  <w:r>
                    <w:rPr>
                      <w:rFonts w:ascii="Times New Roman" w:hAnsi="Times New Roman" w:cs="Times New Roman"/>
                      <w:color w:val="auto"/>
                      <w:kern w:val="28"/>
                      <w:sz w:val="21"/>
                      <w:szCs w:val="21"/>
                    </w:rPr>
                    <w:t>&lt;30min /</w:t>
                  </w:r>
                  <w:r>
                    <w:rPr>
                      <w:rFonts w:hint="eastAsia" w:cs="Times New Roman"/>
                      <w:color w:val="auto"/>
                      <w:kern w:val="28"/>
                      <w:sz w:val="21"/>
                      <w:szCs w:val="21"/>
                    </w:rPr>
                    <w:t>次</w:t>
                  </w:r>
                </w:p>
              </w:tc>
              <w:tc>
                <w:tcPr>
                  <w:tcW w:w="451" w:type="pct"/>
                  <w:vAlign w:val="center"/>
                </w:tcPr>
                <w:p w14:paraId="74628B92">
                  <w:pPr>
                    <w:jc w:val="center"/>
                    <w:rPr>
                      <w:rFonts w:hint="default" w:ascii="Calibri" w:hAnsi="Calibri" w:eastAsia="宋体"/>
                      <w:color w:val="auto"/>
                      <w:sz w:val="22"/>
                      <w:szCs w:val="22"/>
                      <w:lang w:val="en-US" w:eastAsia="zh-CN"/>
                    </w:rPr>
                  </w:pPr>
                  <w:r>
                    <w:rPr>
                      <w:rFonts w:hint="eastAsia"/>
                      <w:color w:val="auto"/>
                      <w:sz w:val="22"/>
                      <w:szCs w:val="22"/>
                      <w:lang w:val="en-US" w:eastAsia="zh-CN"/>
                    </w:rPr>
                    <w:t>1000</w:t>
                  </w:r>
                </w:p>
              </w:tc>
              <w:tc>
                <w:tcPr>
                  <w:tcW w:w="448" w:type="pct"/>
                  <w:vAlign w:val="center"/>
                </w:tcPr>
                <w:p w14:paraId="6B199E29">
                  <w:pPr>
                    <w:pStyle w:val="67"/>
                    <w:widowControl/>
                    <w:spacing w:line="240" w:lineRule="exact"/>
                    <w:jc w:val="center"/>
                    <w:rPr>
                      <w:rFonts w:ascii="Times New Roman" w:hAnsi="Times New Roman" w:cs="Times New Roman"/>
                      <w:color w:val="auto"/>
                      <w:sz w:val="21"/>
                      <w:szCs w:val="21"/>
                    </w:rPr>
                  </w:pPr>
                  <w:r>
                    <w:rPr>
                      <w:rFonts w:ascii="Times New Roman" w:hAnsi="Times New Roman"/>
                      <w:color w:val="auto"/>
                    </w:rPr>
                    <w:t>120</w:t>
                  </w:r>
                </w:p>
              </w:tc>
              <w:tc>
                <w:tcPr>
                  <w:tcW w:w="524" w:type="pct"/>
                  <w:vAlign w:val="center"/>
                </w:tcPr>
                <w:p w14:paraId="45F5A7B1">
                  <w:pPr>
                    <w:pStyle w:val="67"/>
                    <w:widowControl/>
                    <w:spacing w:line="240" w:lineRule="exact"/>
                    <w:jc w:val="center"/>
                    <w:rPr>
                      <w:rFonts w:ascii="Times New Roman" w:hAnsi="Times New Roman" w:cs="Times New Roman"/>
                      <w:color w:val="auto"/>
                      <w:sz w:val="21"/>
                      <w:szCs w:val="21"/>
                    </w:rPr>
                  </w:pPr>
                  <w:r>
                    <w:rPr>
                      <w:rFonts w:ascii="Times New Roman" w:hAnsi="Times New Roman"/>
                      <w:color w:val="auto"/>
                    </w:rPr>
                    <w:t>1.75</w:t>
                  </w:r>
                </w:p>
              </w:tc>
              <w:tc>
                <w:tcPr>
                  <w:tcW w:w="501" w:type="pct"/>
                  <w:vAlign w:val="center"/>
                </w:tcPr>
                <w:p w14:paraId="68D019DB">
                  <w:pPr>
                    <w:pStyle w:val="67"/>
                    <w:widowControl/>
                    <w:spacing w:line="240" w:lineRule="exact"/>
                    <w:jc w:val="center"/>
                    <w:rPr>
                      <w:rFonts w:ascii="Times New Roman" w:hAnsi="Times New Roman" w:cs="Times New Roman"/>
                      <w:color w:val="auto"/>
                      <w:sz w:val="21"/>
                      <w:szCs w:val="21"/>
                    </w:rPr>
                  </w:pPr>
                  <w:r>
                    <w:rPr>
                      <w:rFonts w:hint="eastAsia" w:cs="Times New Roman"/>
                      <w:color w:val="auto"/>
                      <w:sz w:val="21"/>
                      <w:szCs w:val="21"/>
                    </w:rPr>
                    <w:t>达标</w:t>
                  </w:r>
                </w:p>
              </w:tc>
            </w:tr>
          </w:tbl>
          <w:p w14:paraId="0D9BB63A">
            <w:pPr>
              <w:spacing w:line="500" w:lineRule="atLeast"/>
              <w:ind w:firstLine="480" w:firstLineChars="200"/>
              <w:rPr>
                <w:color w:val="auto"/>
                <w:sz w:val="24"/>
              </w:rPr>
            </w:pPr>
            <w:r>
              <w:rPr>
                <w:rFonts w:hint="eastAsia"/>
                <w:color w:val="auto"/>
                <w:sz w:val="24"/>
              </w:rPr>
              <w:t>由上表可知，非正常工况下</w:t>
            </w:r>
            <w:r>
              <w:rPr>
                <w:color w:val="auto"/>
                <w:sz w:val="24"/>
              </w:rPr>
              <w:t>DA00</w:t>
            </w:r>
            <w:r>
              <w:rPr>
                <w:rFonts w:hint="eastAsia"/>
                <w:color w:val="auto"/>
                <w:sz w:val="24"/>
                <w:lang w:val="en-US" w:eastAsia="zh-CN"/>
              </w:rPr>
              <w:t>1</w:t>
            </w:r>
            <w:r>
              <w:rPr>
                <w:rFonts w:hint="eastAsia"/>
                <w:color w:val="auto"/>
                <w:sz w:val="24"/>
              </w:rPr>
              <w:t>排气筒颗粒物浓度、速率均达标。</w:t>
            </w:r>
          </w:p>
          <w:p w14:paraId="152CD0C1">
            <w:pPr>
              <w:spacing w:line="500" w:lineRule="atLeast"/>
              <w:ind w:firstLine="480" w:firstLineChars="200"/>
              <w:rPr>
                <w:color w:val="auto"/>
                <w:sz w:val="24"/>
              </w:rPr>
            </w:pPr>
            <w:r>
              <w:rPr>
                <w:color w:val="auto"/>
                <w:sz w:val="24"/>
              </w:rPr>
              <w:t>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700D5157">
            <w:pPr>
              <w:spacing w:line="500" w:lineRule="atLeast"/>
              <w:ind w:firstLine="480" w:firstLineChars="200"/>
              <w:rPr>
                <w:color w:val="auto"/>
                <w:sz w:val="24"/>
              </w:rPr>
            </w:pPr>
            <w:r>
              <w:rPr>
                <w:rFonts w:hint="eastAsia"/>
                <w:color w:val="auto"/>
                <w:sz w:val="24"/>
              </w:rPr>
              <w:t>①</w:t>
            </w:r>
            <w:r>
              <w:rPr>
                <w:color w:val="auto"/>
                <w:sz w:val="24"/>
              </w:rPr>
              <w:t>安排专人负责环保设备的日常维护和管理，每个固定时间检查、汇报情况，及时发现废气处理设备的隐患，确保废气处理系统正常运行；</w:t>
            </w:r>
          </w:p>
          <w:p w14:paraId="28AA19CE">
            <w:pPr>
              <w:spacing w:line="500" w:lineRule="atLeast"/>
              <w:ind w:firstLine="480" w:firstLineChars="200"/>
              <w:rPr>
                <w:color w:val="auto"/>
                <w:sz w:val="24"/>
              </w:rPr>
            </w:pPr>
            <w:r>
              <w:rPr>
                <w:rFonts w:hint="eastAsia"/>
                <w:color w:val="auto"/>
                <w:sz w:val="24"/>
              </w:rPr>
              <w:t>②</w:t>
            </w:r>
            <w:r>
              <w:rPr>
                <w:color w:val="auto"/>
                <w:sz w:val="24"/>
              </w:rPr>
              <w:t>建立健全的环保管理机构，对环保管理人员和技术人员进行岗位培训，委托具有专业资质的环境检测单位对项目排放的各类污染物进行定期检测；</w:t>
            </w:r>
          </w:p>
          <w:p w14:paraId="72716753">
            <w:pPr>
              <w:spacing w:line="500" w:lineRule="atLeast"/>
              <w:ind w:firstLine="480" w:firstLineChars="200"/>
              <w:rPr>
                <w:color w:val="auto"/>
                <w:sz w:val="24"/>
              </w:rPr>
            </w:pPr>
            <w:r>
              <w:rPr>
                <w:rFonts w:hint="eastAsia"/>
                <w:color w:val="auto"/>
                <w:sz w:val="24"/>
              </w:rPr>
              <w:t>③</w:t>
            </w:r>
            <w:r>
              <w:rPr>
                <w:color w:val="auto"/>
                <w:sz w:val="24"/>
              </w:rPr>
              <w:t>应定期维护、检修废气净化装置，以保持废气处理装置的净化能力和净化容量。</w:t>
            </w:r>
          </w:p>
          <w:p w14:paraId="368F701B">
            <w:pPr>
              <w:spacing w:line="500" w:lineRule="atLeast"/>
              <w:ind w:firstLine="480" w:firstLineChars="200"/>
              <w:rPr>
                <w:color w:val="auto"/>
                <w:sz w:val="24"/>
              </w:rPr>
            </w:pPr>
            <w:r>
              <w:rPr>
                <w:rFonts w:hint="eastAsia"/>
                <w:color w:val="auto"/>
                <w:sz w:val="24"/>
              </w:rPr>
              <w:t>④</w:t>
            </w:r>
            <w:r>
              <w:rPr>
                <w:color w:val="auto"/>
                <w:sz w:val="24"/>
              </w:rPr>
              <w:t>生产加工前，</w:t>
            </w:r>
            <w:r>
              <w:rPr>
                <w:rFonts w:hint="eastAsia"/>
                <w:color w:val="auto"/>
                <w:sz w:val="24"/>
              </w:rPr>
              <w:t>废气</w:t>
            </w:r>
            <w:r>
              <w:rPr>
                <w:color w:val="auto"/>
                <w:sz w:val="24"/>
              </w:rPr>
              <w:t>处理设备开启，关闭</w:t>
            </w:r>
            <w:r>
              <w:rPr>
                <w:rFonts w:hint="eastAsia"/>
                <w:color w:val="auto"/>
                <w:sz w:val="24"/>
              </w:rPr>
              <w:t>生产设备</w:t>
            </w:r>
            <w:r>
              <w:rPr>
                <w:color w:val="auto"/>
                <w:sz w:val="24"/>
              </w:rPr>
              <w:t>一段时间后再关闭</w:t>
            </w:r>
            <w:r>
              <w:rPr>
                <w:rFonts w:hint="eastAsia"/>
                <w:color w:val="auto"/>
                <w:sz w:val="24"/>
              </w:rPr>
              <w:t>废气</w:t>
            </w:r>
            <w:r>
              <w:rPr>
                <w:color w:val="auto"/>
                <w:sz w:val="24"/>
              </w:rPr>
              <w:t>处理设施，不存在废气突然排放的情况。</w:t>
            </w:r>
          </w:p>
          <w:p w14:paraId="23278159">
            <w:pPr>
              <w:spacing w:line="500" w:lineRule="atLeast"/>
              <w:ind w:firstLine="480" w:firstLineChars="200"/>
              <w:rPr>
                <w:color w:val="auto"/>
                <w:sz w:val="24"/>
              </w:rPr>
            </w:pPr>
            <w:r>
              <w:rPr>
                <w:color w:val="auto"/>
                <w:sz w:val="24"/>
              </w:rPr>
              <w:t>5、大气环境防护距离</w:t>
            </w:r>
          </w:p>
          <w:p w14:paraId="7CFD243E">
            <w:pPr>
              <w:spacing w:line="500" w:lineRule="atLeast"/>
              <w:ind w:firstLine="480" w:firstLineChars="200"/>
              <w:rPr>
                <w:color w:val="auto"/>
                <w:sz w:val="24"/>
              </w:rPr>
            </w:pPr>
            <w:r>
              <w:rPr>
                <w:rFonts w:hint="eastAsia"/>
                <w:color w:val="auto"/>
                <w:sz w:val="24"/>
              </w:rPr>
              <w:t>由《环境影响评价技术导则</w:t>
            </w:r>
            <w:r>
              <w:rPr>
                <w:color w:val="auto"/>
                <w:sz w:val="24"/>
              </w:rPr>
              <w:t>-</w:t>
            </w:r>
            <w:r>
              <w:rPr>
                <w:rFonts w:hint="eastAsia"/>
                <w:color w:val="auto"/>
                <w:sz w:val="24"/>
              </w:rPr>
              <w:t>大气环境》（HJ2.2-2018）可知，大气环境防护距离是为保护人群健康，减少正常排放条件下大气污染物对居住区的环境影响，在项目厂界以外设置的环境防护距离。</w:t>
            </w:r>
          </w:p>
          <w:p w14:paraId="13406450">
            <w:pPr>
              <w:spacing w:line="500" w:lineRule="atLeast"/>
              <w:ind w:firstLine="480" w:firstLineChars="200"/>
              <w:rPr>
                <w:color w:val="auto"/>
                <w:sz w:val="24"/>
              </w:rPr>
            </w:pPr>
            <w:r>
              <w:rPr>
                <w:rFonts w:hint="eastAsia"/>
                <w:color w:val="auto"/>
                <w:sz w:val="24"/>
              </w:rPr>
              <w:t>根据前文预测分析，本项目正常排放下污染物短期贡献浓度在厂界外均能达标，因此本项目无需设置大气环境防护距离。</w:t>
            </w:r>
          </w:p>
          <w:p w14:paraId="4F382F45">
            <w:pPr>
              <w:tabs>
                <w:tab w:val="left" w:pos="-160"/>
              </w:tabs>
              <w:spacing w:line="480" w:lineRule="atLeast"/>
              <w:ind w:firstLine="479" w:firstLineChars="199"/>
              <w:rPr>
                <w:b/>
                <w:color w:val="auto"/>
                <w:sz w:val="24"/>
              </w:rPr>
            </w:pPr>
            <w:r>
              <w:rPr>
                <w:rFonts w:hint="eastAsia"/>
                <w:b/>
                <w:color w:val="auto"/>
                <w:sz w:val="24"/>
              </w:rPr>
              <w:t>二</w:t>
            </w:r>
            <w:r>
              <w:rPr>
                <w:b/>
                <w:color w:val="auto"/>
                <w:sz w:val="24"/>
              </w:rPr>
              <w:t>、废水</w:t>
            </w:r>
          </w:p>
          <w:p w14:paraId="719ACF53">
            <w:pPr>
              <w:spacing w:line="480" w:lineRule="atLeast"/>
              <w:ind w:firstLine="480" w:firstLineChars="200"/>
              <w:rPr>
                <w:color w:val="auto"/>
                <w:sz w:val="24"/>
              </w:rPr>
            </w:pPr>
            <w:r>
              <w:rPr>
                <w:rFonts w:hint="eastAsia"/>
                <w:color w:val="auto"/>
                <w:sz w:val="24"/>
              </w:rPr>
              <w:t>1、项目废水产排情况</w:t>
            </w:r>
          </w:p>
          <w:p w14:paraId="34962EFC">
            <w:pPr>
              <w:tabs>
                <w:tab w:val="left" w:pos="7725"/>
              </w:tabs>
              <w:spacing w:line="520" w:lineRule="exact"/>
              <w:ind w:firstLine="480" w:firstLineChars="200"/>
              <w:rPr>
                <w:color w:val="auto"/>
                <w:kern w:val="0"/>
                <w:sz w:val="24"/>
              </w:rPr>
            </w:pPr>
            <w:r>
              <w:rPr>
                <w:rFonts w:hint="eastAsia"/>
                <w:color w:val="auto"/>
                <w:sz w:val="24"/>
              </w:rPr>
              <w:t>项目废水主要为工作人员日常办公产生的生活污水。</w:t>
            </w:r>
          </w:p>
          <w:p w14:paraId="5C6CA579">
            <w:pPr>
              <w:spacing w:line="480" w:lineRule="atLeast"/>
              <w:ind w:firstLine="480" w:firstLineChars="200"/>
              <w:rPr>
                <w:color w:val="auto"/>
                <w:sz w:val="24"/>
              </w:rPr>
            </w:pPr>
            <w:r>
              <w:rPr>
                <w:rFonts w:hint="eastAsia"/>
                <w:color w:val="auto"/>
                <w:sz w:val="24"/>
              </w:rPr>
              <w:t>（1）生活污水</w:t>
            </w:r>
          </w:p>
          <w:p w14:paraId="09A6C66C">
            <w:pPr>
              <w:pStyle w:val="11"/>
              <w:spacing w:before="0" w:after="0" w:line="520" w:lineRule="exact"/>
              <w:ind w:right="0" w:firstLine="480" w:firstLineChars="200"/>
              <w:rPr>
                <w:color w:val="auto"/>
                <w:sz w:val="24"/>
                <w:szCs w:val="24"/>
              </w:rPr>
            </w:pPr>
            <w:r>
              <w:rPr>
                <w:rFonts w:hint="eastAsia"/>
                <w:color w:val="auto"/>
                <w:sz w:val="24"/>
                <w:szCs w:val="24"/>
              </w:rPr>
              <w:t>本项目</w:t>
            </w:r>
            <w:r>
              <w:rPr>
                <w:rFonts w:hint="eastAsia"/>
                <w:color w:val="auto"/>
                <w:sz w:val="24"/>
              </w:rPr>
              <w:t>实行</w:t>
            </w:r>
            <w:r>
              <w:rPr>
                <w:rFonts w:hint="eastAsia"/>
                <w:color w:val="auto"/>
                <w:sz w:val="24"/>
                <w:lang w:val="en-US" w:eastAsia="zh-CN"/>
              </w:rPr>
              <w:t>2班制</w:t>
            </w:r>
            <w:r>
              <w:rPr>
                <w:rFonts w:hint="eastAsia"/>
                <w:color w:val="auto"/>
                <w:sz w:val="24"/>
              </w:rPr>
              <w:t>，一天8小时</w:t>
            </w:r>
            <w:r>
              <w:rPr>
                <w:rFonts w:hint="eastAsia"/>
                <w:color w:val="auto"/>
                <w:sz w:val="24"/>
                <w:lang w:eastAsia="zh-CN"/>
              </w:rPr>
              <w:t>，</w:t>
            </w:r>
            <w:r>
              <w:rPr>
                <w:rFonts w:hint="eastAsia"/>
                <w:color w:val="auto"/>
                <w:sz w:val="24"/>
                <w:szCs w:val="24"/>
              </w:rPr>
              <w:t>劳动定员为</w:t>
            </w:r>
            <w:r>
              <w:rPr>
                <w:rFonts w:hint="eastAsia"/>
                <w:color w:val="auto"/>
                <w:sz w:val="24"/>
                <w:szCs w:val="24"/>
                <w:lang w:val="en-US" w:eastAsia="zh-CN"/>
              </w:rPr>
              <w:t>10</w:t>
            </w:r>
            <w:r>
              <w:rPr>
                <w:rFonts w:hint="eastAsia"/>
                <w:color w:val="auto"/>
                <w:sz w:val="24"/>
                <w:szCs w:val="24"/>
              </w:rPr>
              <w:t>人</w:t>
            </w:r>
            <w:r>
              <w:rPr>
                <w:rFonts w:hint="eastAsia"/>
                <w:color w:val="auto"/>
                <w:sz w:val="24"/>
              </w:rPr>
              <w:t>，根据《建筑给水排水设计标准》(GB50015-2019)，</w:t>
            </w:r>
            <w:r>
              <w:rPr>
                <w:rFonts w:hint="eastAsia"/>
                <w:color w:val="auto"/>
                <w:sz w:val="24"/>
                <w:szCs w:val="24"/>
              </w:rPr>
              <w:t>生活用水量按</w:t>
            </w:r>
            <w:r>
              <w:rPr>
                <w:color w:val="auto"/>
                <w:sz w:val="24"/>
                <w:szCs w:val="24"/>
              </w:rPr>
              <w:t>0.</w:t>
            </w:r>
            <w:r>
              <w:rPr>
                <w:rFonts w:hint="eastAsia"/>
                <w:color w:val="auto"/>
                <w:sz w:val="24"/>
                <w:szCs w:val="24"/>
              </w:rPr>
              <w:t>0</w:t>
            </w:r>
            <w:r>
              <w:rPr>
                <w:rFonts w:hint="eastAsia"/>
                <w:color w:val="auto"/>
                <w:sz w:val="24"/>
                <w:szCs w:val="24"/>
                <w:lang w:val="en-US" w:eastAsia="zh-CN"/>
              </w:rPr>
              <w:t>5</w:t>
            </w:r>
            <w:r>
              <w:rPr>
                <w:color w:val="auto"/>
                <w:sz w:val="24"/>
                <w:szCs w:val="24"/>
              </w:rPr>
              <w:t>t/</w:t>
            </w:r>
            <w:r>
              <w:rPr>
                <w:rFonts w:hint="eastAsia"/>
                <w:color w:val="auto"/>
                <w:sz w:val="24"/>
                <w:szCs w:val="24"/>
              </w:rPr>
              <w:t>（人</w:t>
            </w:r>
            <w:r>
              <w:rPr>
                <w:color w:val="auto"/>
                <w:sz w:val="24"/>
                <w:szCs w:val="24"/>
              </w:rPr>
              <w:t>·</w:t>
            </w:r>
            <w:r>
              <w:rPr>
                <w:rFonts w:hint="eastAsia"/>
                <w:color w:val="auto"/>
                <w:sz w:val="24"/>
                <w:szCs w:val="24"/>
              </w:rPr>
              <w:t>天），</w:t>
            </w:r>
            <w:r>
              <w:rPr>
                <w:rFonts w:hint="eastAsia"/>
                <w:color w:val="auto"/>
                <w:sz w:val="24"/>
                <w:szCs w:val="24"/>
                <w:lang w:val="en-US" w:eastAsia="zh-CN"/>
              </w:rPr>
              <w:t>300</w:t>
            </w:r>
            <w:r>
              <w:rPr>
                <w:rFonts w:hint="eastAsia"/>
                <w:color w:val="auto"/>
                <w:sz w:val="24"/>
                <w:szCs w:val="24"/>
              </w:rPr>
              <w:t>天计，用水量为</w:t>
            </w:r>
            <w:r>
              <w:rPr>
                <w:rFonts w:hint="eastAsia"/>
                <w:color w:val="auto"/>
                <w:sz w:val="24"/>
                <w:szCs w:val="24"/>
                <w:lang w:val="en-US" w:eastAsia="zh-CN"/>
              </w:rPr>
              <w:t>约300</w:t>
            </w:r>
            <w:r>
              <w:rPr>
                <w:color w:val="auto"/>
                <w:sz w:val="24"/>
                <w:szCs w:val="24"/>
              </w:rPr>
              <w:t>t/a</w:t>
            </w:r>
            <w:r>
              <w:rPr>
                <w:rFonts w:hint="eastAsia"/>
                <w:color w:val="auto"/>
                <w:sz w:val="24"/>
                <w:szCs w:val="24"/>
              </w:rPr>
              <w:t>。</w:t>
            </w:r>
          </w:p>
          <w:p w14:paraId="5EE579E7">
            <w:pPr>
              <w:tabs>
                <w:tab w:val="left" w:pos="7725"/>
              </w:tabs>
              <w:spacing w:line="480" w:lineRule="atLeast"/>
              <w:ind w:firstLine="480" w:firstLineChars="200"/>
              <w:rPr>
                <w:color w:val="auto"/>
                <w:sz w:val="24"/>
              </w:rPr>
            </w:pPr>
            <w:r>
              <w:rPr>
                <w:rFonts w:hint="eastAsia"/>
                <w:color w:val="auto"/>
                <w:sz w:val="24"/>
              </w:rPr>
              <w:t>生活用水量为</w:t>
            </w:r>
            <w:r>
              <w:rPr>
                <w:rFonts w:hint="eastAsia"/>
                <w:color w:val="auto"/>
                <w:sz w:val="24"/>
                <w:lang w:val="en-US" w:eastAsia="zh-CN"/>
              </w:rPr>
              <w:t>300t</w:t>
            </w:r>
            <w:r>
              <w:rPr>
                <w:color w:val="auto"/>
                <w:sz w:val="24"/>
              </w:rPr>
              <w:t>/a</w:t>
            </w:r>
            <w:r>
              <w:rPr>
                <w:rFonts w:hint="eastAsia"/>
                <w:color w:val="auto"/>
                <w:sz w:val="24"/>
              </w:rPr>
              <w:t>，排水系数按</w:t>
            </w:r>
            <w:r>
              <w:rPr>
                <w:color w:val="auto"/>
                <w:sz w:val="24"/>
              </w:rPr>
              <w:t>0.8</w:t>
            </w:r>
            <w:r>
              <w:rPr>
                <w:rFonts w:hint="eastAsia"/>
                <w:color w:val="auto"/>
                <w:sz w:val="24"/>
              </w:rPr>
              <w:t>计算，生活污水产生量为</w:t>
            </w:r>
            <w:r>
              <w:rPr>
                <w:rFonts w:hint="eastAsia"/>
                <w:color w:val="auto"/>
                <w:sz w:val="24"/>
                <w:lang w:val="en-US" w:eastAsia="zh-CN"/>
              </w:rPr>
              <w:t>240t/a</w:t>
            </w:r>
            <w:r>
              <w:rPr>
                <w:rFonts w:hint="eastAsia"/>
                <w:color w:val="auto"/>
                <w:sz w:val="24"/>
              </w:rPr>
              <w:t>。</w:t>
            </w:r>
          </w:p>
          <w:p w14:paraId="6216EADE">
            <w:pPr>
              <w:pStyle w:val="2"/>
              <w:jc w:val="center"/>
              <w:rPr>
                <w:color w:val="auto"/>
              </w:rPr>
            </w:pPr>
            <w:r>
              <w:rPr>
                <w:color w:val="auto"/>
                <w:sz w:val="24"/>
              </w:rPr>
              <w:object>
                <v:shape id="_x0000_i1028" o:spt="75" type="#_x0000_t75" style="height:71.6pt;width:340.5pt;" o:ole="t" filled="f" o:preferrelative="t" stroked="f" coordsize="21600,21600">
                  <v:path/>
                  <v:fill on="f" focussize="0,0"/>
                  <v:stroke on="f"/>
                  <v:imagedata r:id="rId17" o:title=""/>
                  <o:lock v:ext="edit" aspectratio="f"/>
                  <w10:wrap type="none"/>
                  <w10:anchorlock/>
                </v:shape>
                <o:OLEObject Type="Embed" ProgID="Visio.Drawing.11" ShapeID="_x0000_i1028" DrawAspect="Content" ObjectID="_1468075728" r:id="rId16">
                  <o:LockedField>false</o:LockedField>
                </o:OLEObject>
              </w:object>
            </w:r>
          </w:p>
          <w:p w14:paraId="4E5FC308">
            <w:pPr>
              <w:pStyle w:val="2"/>
              <w:rPr>
                <w:color w:val="auto"/>
              </w:rPr>
            </w:pPr>
          </w:p>
          <w:p w14:paraId="1D0154F1">
            <w:pPr>
              <w:tabs>
                <w:tab w:val="left" w:pos="7725"/>
              </w:tabs>
              <w:spacing w:line="480" w:lineRule="atLeast"/>
              <w:ind w:firstLine="482" w:firstLineChars="200"/>
              <w:jc w:val="center"/>
              <w:rPr>
                <w:rFonts w:hint="eastAsia"/>
                <w:b/>
                <w:bCs/>
                <w:color w:val="auto"/>
                <w:sz w:val="24"/>
                <w:lang w:val="en-US" w:eastAsia="zh-CN"/>
              </w:rPr>
            </w:pPr>
            <w:r>
              <w:rPr>
                <w:rFonts w:hint="eastAsia"/>
                <w:b/>
                <w:bCs/>
                <w:color w:val="auto"/>
                <w:sz w:val="24"/>
                <w:lang w:val="en-US" w:eastAsia="zh-CN"/>
              </w:rPr>
              <w:t>图4-2    项目水平衡图   单位t/d</w:t>
            </w:r>
          </w:p>
          <w:p w14:paraId="095CD80B">
            <w:pPr>
              <w:spacing w:line="400" w:lineRule="exact"/>
              <w:jc w:val="center"/>
              <w:rPr>
                <w:b/>
                <w:color w:val="auto"/>
                <w:sz w:val="24"/>
              </w:rPr>
            </w:pPr>
            <w:r>
              <w:rPr>
                <w:b/>
                <w:color w:val="auto"/>
                <w:sz w:val="24"/>
              </w:rPr>
              <w:t>表4-10   项目废水产生及排放情况一览表</w:t>
            </w:r>
          </w:p>
          <w:tbl>
            <w:tblPr>
              <w:tblStyle w:val="26"/>
              <w:tblW w:w="4992" w:type="pct"/>
              <w:tblInd w:w="-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64"/>
              <w:gridCol w:w="556"/>
              <w:gridCol w:w="607"/>
              <w:gridCol w:w="894"/>
              <w:gridCol w:w="829"/>
              <w:gridCol w:w="4192"/>
              <w:gridCol w:w="1174"/>
              <w:gridCol w:w="833"/>
            </w:tblGrid>
            <w:tr w14:paraId="00D4B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83" w:hRule="atLeast"/>
              </w:trPr>
              <w:tc>
                <w:tcPr>
                  <w:tcW w:w="191" w:type="pct"/>
                  <w:vMerge w:val="restart"/>
                  <w:tcBorders>
                    <w:tl2br w:val="nil"/>
                    <w:tr2bl w:val="nil"/>
                  </w:tcBorders>
                  <w:noWrap w:val="0"/>
                  <w:vAlign w:val="center"/>
                </w:tcPr>
                <w:p w14:paraId="46504093">
                  <w:pPr>
                    <w:jc w:val="center"/>
                    <w:rPr>
                      <w:rFonts w:eastAsia="宋体"/>
                      <w:color w:val="auto"/>
                      <w:szCs w:val="21"/>
                    </w:rPr>
                  </w:pPr>
                  <w:r>
                    <w:rPr>
                      <w:rFonts w:hAnsi="宋体" w:eastAsia="宋体"/>
                      <w:color w:val="auto"/>
                      <w:szCs w:val="21"/>
                    </w:rPr>
                    <w:t>来源</w:t>
                  </w:r>
                </w:p>
              </w:tc>
              <w:tc>
                <w:tcPr>
                  <w:tcW w:w="291" w:type="pct"/>
                  <w:vMerge w:val="restart"/>
                  <w:tcBorders>
                    <w:tl2br w:val="nil"/>
                    <w:tr2bl w:val="nil"/>
                  </w:tcBorders>
                  <w:noWrap w:val="0"/>
                  <w:vAlign w:val="center"/>
                </w:tcPr>
                <w:p w14:paraId="1ED0AF59">
                  <w:pPr>
                    <w:pStyle w:val="82"/>
                    <w:widowControl w:val="0"/>
                    <w:pBdr>
                      <w:bottom w:val="none" w:color="auto" w:sz="0" w:space="0"/>
                      <w:right w:val="none" w:color="auto" w:sz="0" w:space="0"/>
                    </w:pBdr>
                    <w:spacing w:before="0" w:beforeAutospacing="0" w:after="0" w:afterAutospacing="0"/>
                    <w:rPr>
                      <w:rFonts w:eastAsia="宋体"/>
                      <w:color w:val="auto"/>
                      <w:kern w:val="2"/>
                      <w:sz w:val="21"/>
                      <w:szCs w:val="21"/>
                    </w:rPr>
                  </w:pPr>
                  <w:r>
                    <w:rPr>
                      <w:rFonts w:hAnsi="宋体" w:eastAsia="宋体"/>
                      <w:color w:val="auto"/>
                      <w:kern w:val="2"/>
                      <w:sz w:val="21"/>
                      <w:szCs w:val="21"/>
                    </w:rPr>
                    <w:t>废水量</w:t>
                  </w:r>
                </w:p>
                <w:p w14:paraId="640E2831">
                  <w:pPr>
                    <w:pStyle w:val="82"/>
                    <w:widowControl w:val="0"/>
                    <w:pBdr>
                      <w:bottom w:val="none" w:color="auto" w:sz="0" w:space="0"/>
                      <w:right w:val="none" w:color="auto" w:sz="0" w:space="0"/>
                    </w:pBdr>
                    <w:spacing w:before="0" w:beforeAutospacing="0" w:after="0" w:afterAutospacing="0"/>
                    <w:rPr>
                      <w:rFonts w:eastAsia="宋体"/>
                      <w:color w:val="auto"/>
                      <w:kern w:val="2"/>
                      <w:sz w:val="21"/>
                      <w:szCs w:val="21"/>
                    </w:rPr>
                  </w:pPr>
                  <w:r>
                    <w:rPr>
                      <w:rFonts w:eastAsia="宋体"/>
                      <w:color w:val="auto"/>
                      <w:kern w:val="2"/>
                      <w:sz w:val="21"/>
                      <w:szCs w:val="21"/>
                    </w:rPr>
                    <w:t>(t/a)</w:t>
                  </w:r>
                </w:p>
              </w:tc>
              <w:tc>
                <w:tcPr>
                  <w:tcW w:w="318" w:type="pct"/>
                  <w:vMerge w:val="restart"/>
                  <w:tcBorders>
                    <w:tl2br w:val="nil"/>
                    <w:tr2bl w:val="nil"/>
                  </w:tcBorders>
                  <w:noWrap w:val="0"/>
                  <w:vAlign w:val="center"/>
                </w:tcPr>
                <w:p w14:paraId="301EE5F5">
                  <w:pPr>
                    <w:jc w:val="center"/>
                    <w:rPr>
                      <w:rFonts w:hAnsi="宋体" w:eastAsia="宋体"/>
                      <w:color w:val="auto"/>
                      <w:szCs w:val="21"/>
                    </w:rPr>
                  </w:pPr>
                  <w:r>
                    <w:rPr>
                      <w:rFonts w:hAnsi="宋体" w:eastAsia="宋体"/>
                      <w:color w:val="auto"/>
                      <w:szCs w:val="21"/>
                    </w:rPr>
                    <w:t>污染物</w:t>
                  </w:r>
                </w:p>
                <w:p w14:paraId="6C94B3D4">
                  <w:pPr>
                    <w:jc w:val="center"/>
                    <w:rPr>
                      <w:rFonts w:eastAsia="宋体"/>
                      <w:color w:val="auto"/>
                      <w:szCs w:val="21"/>
                    </w:rPr>
                  </w:pPr>
                  <w:r>
                    <w:rPr>
                      <w:rFonts w:hAnsi="宋体" w:eastAsia="宋体"/>
                      <w:color w:val="auto"/>
                      <w:szCs w:val="21"/>
                    </w:rPr>
                    <w:t>名称</w:t>
                  </w:r>
                </w:p>
              </w:tc>
              <w:tc>
                <w:tcPr>
                  <w:tcW w:w="902" w:type="pct"/>
                  <w:gridSpan w:val="2"/>
                  <w:tcBorders>
                    <w:tl2br w:val="nil"/>
                    <w:tr2bl w:val="nil"/>
                  </w:tcBorders>
                  <w:noWrap w:val="0"/>
                  <w:vAlign w:val="center"/>
                </w:tcPr>
                <w:p w14:paraId="6F29CFB4">
                  <w:pPr>
                    <w:jc w:val="center"/>
                    <w:rPr>
                      <w:rFonts w:eastAsia="宋体"/>
                      <w:color w:val="auto"/>
                      <w:szCs w:val="21"/>
                    </w:rPr>
                  </w:pPr>
                  <w:r>
                    <w:rPr>
                      <w:rFonts w:hAnsi="宋体" w:eastAsia="宋体"/>
                      <w:color w:val="auto"/>
                      <w:szCs w:val="21"/>
                    </w:rPr>
                    <w:t>污染物产生量</w:t>
                  </w:r>
                </w:p>
              </w:tc>
              <w:tc>
                <w:tcPr>
                  <w:tcW w:w="2195" w:type="pct"/>
                  <w:vMerge w:val="restart"/>
                  <w:tcBorders>
                    <w:tl2br w:val="nil"/>
                    <w:tr2bl w:val="nil"/>
                  </w:tcBorders>
                  <w:noWrap w:val="0"/>
                  <w:vAlign w:val="center"/>
                </w:tcPr>
                <w:p w14:paraId="588F32DE">
                  <w:pPr>
                    <w:jc w:val="center"/>
                    <w:rPr>
                      <w:rFonts w:eastAsia="宋体"/>
                      <w:color w:val="auto"/>
                      <w:szCs w:val="21"/>
                    </w:rPr>
                  </w:pPr>
                  <w:r>
                    <w:rPr>
                      <w:rFonts w:hAnsi="宋体" w:eastAsia="宋体"/>
                      <w:color w:val="auto"/>
                      <w:szCs w:val="21"/>
                    </w:rPr>
                    <w:t>排放方式和去向</w:t>
                  </w:r>
                </w:p>
              </w:tc>
              <w:tc>
                <w:tcPr>
                  <w:tcW w:w="1051" w:type="pct"/>
                  <w:gridSpan w:val="2"/>
                  <w:tcBorders>
                    <w:tl2br w:val="nil"/>
                    <w:tr2bl w:val="nil"/>
                  </w:tcBorders>
                  <w:noWrap w:val="0"/>
                  <w:vAlign w:val="center"/>
                </w:tcPr>
                <w:p w14:paraId="68E02F3D">
                  <w:pPr>
                    <w:jc w:val="center"/>
                    <w:rPr>
                      <w:rFonts w:eastAsia="宋体"/>
                      <w:color w:val="auto"/>
                      <w:szCs w:val="21"/>
                    </w:rPr>
                  </w:pPr>
                  <w:r>
                    <w:rPr>
                      <w:rFonts w:hAnsi="宋体" w:eastAsia="宋体"/>
                      <w:color w:val="auto"/>
                      <w:szCs w:val="21"/>
                    </w:rPr>
                    <w:t>污染物</w:t>
                  </w:r>
                  <w:r>
                    <w:rPr>
                      <w:rFonts w:hint="eastAsia" w:hAnsi="宋体" w:eastAsia="宋体"/>
                      <w:color w:val="auto"/>
                      <w:szCs w:val="21"/>
                    </w:rPr>
                    <w:t>排放</w:t>
                  </w:r>
                  <w:r>
                    <w:rPr>
                      <w:rFonts w:hAnsi="宋体" w:eastAsia="宋体"/>
                      <w:color w:val="auto"/>
                      <w:szCs w:val="21"/>
                    </w:rPr>
                    <w:t>量</w:t>
                  </w:r>
                </w:p>
              </w:tc>
            </w:tr>
            <w:tr w14:paraId="39130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283" w:hRule="atLeast"/>
              </w:trPr>
              <w:tc>
                <w:tcPr>
                  <w:tcW w:w="191" w:type="pct"/>
                  <w:vMerge w:val="continue"/>
                  <w:tcBorders>
                    <w:tl2br w:val="nil"/>
                    <w:tr2bl w:val="nil"/>
                  </w:tcBorders>
                  <w:noWrap w:val="0"/>
                  <w:vAlign w:val="center"/>
                </w:tcPr>
                <w:p w14:paraId="1A28451E">
                  <w:pPr>
                    <w:widowControl/>
                    <w:jc w:val="left"/>
                    <w:rPr>
                      <w:rFonts w:eastAsia="宋体"/>
                      <w:color w:val="auto"/>
                      <w:szCs w:val="21"/>
                    </w:rPr>
                  </w:pPr>
                </w:p>
              </w:tc>
              <w:tc>
                <w:tcPr>
                  <w:tcW w:w="291" w:type="pct"/>
                  <w:vMerge w:val="continue"/>
                  <w:tcBorders>
                    <w:tl2br w:val="nil"/>
                    <w:tr2bl w:val="nil"/>
                  </w:tcBorders>
                  <w:noWrap w:val="0"/>
                  <w:vAlign w:val="center"/>
                </w:tcPr>
                <w:p w14:paraId="21A45376">
                  <w:pPr>
                    <w:widowControl/>
                    <w:jc w:val="left"/>
                    <w:rPr>
                      <w:rFonts w:eastAsia="宋体"/>
                      <w:color w:val="auto"/>
                      <w:szCs w:val="21"/>
                    </w:rPr>
                  </w:pPr>
                </w:p>
              </w:tc>
              <w:tc>
                <w:tcPr>
                  <w:tcW w:w="318" w:type="pct"/>
                  <w:vMerge w:val="continue"/>
                  <w:tcBorders>
                    <w:tl2br w:val="nil"/>
                    <w:tr2bl w:val="nil"/>
                  </w:tcBorders>
                  <w:noWrap w:val="0"/>
                  <w:vAlign w:val="center"/>
                </w:tcPr>
                <w:p w14:paraId="13F91E11">
                  <w:pPr>
                    <w:widowControl/>
                    <w:jc w:val="left"/>
                    <w:rPr>
                      <w:rFonts w:eastAsia="宋体"/>
                      <w:color w:val="auto"/>
                      <w:szCs w:val="21"/>
                    </w:rPr>
                  </w:pPr>
                </w:p>
              </w:tc>
              <w:tc>
                <w:tcPr>
                  <w:tcW w:w="468" w:type="pct"/>
                  <w:tcBorders>
                    <w:tl2br w:val="nil"/>
                    <w:tr2bl w:val="nil"/>
                  </w:tcBorders>
                  <w:noWrap w:val="0"/>
                  <w:vAlign w:val="center"/>
                </w:tcPr>
                <w:p w14:paraId="25BF7434">
                  <w:pPr>
                    <w:jc w:val="center"/>
                    <w:rPr>
                      <w:rFonts w:eastAsia="宋体"/>
                      <w:color w:val="auto"/>
                      <w:szCs w:val="21"/>
                    </w:rPr>
                  </w:pPr>
                  <w:r>
                    <w:rPr>
                      <w:rFonts w:hAnsi="宋体" w:eastAsia="宋体"/>
                      <w:color w:val="auto"/>
                      <w:szCs w:val="21"/>
                    </w:rPr>
                    <w:t>浓度</w:t>
                  </w:r>
                  <w:r>
                    <w:rPr>
                      <w:rFonts w:eastAsia="宋体"/>
                      <w:color w:val="auto"/>
                      <w:szCs w:val="21"/>
                    </w:rPr>
                    <w:t>(mg/L)</w:t>
                  </w:r>
                </w:p>
              </w:tc>
              <w:tc>
                <w:tcPr>
                  <w:tcW w:w="434" w:type="pct"/>
                  <w:tcBorders>
                    <w:tl2br w:val="nil"/>
                    <w:tr2bl w:val="nil"/>
                  </w:tcBorders>
                  <w:noWrap w:val="0"/>
                  <w:vAlign w:val="center"/>
                </w:tcPr>
                <w:p w14:paraId="45885879">
                  <w:pPr>
                    <w:jc w:val="center"/>
                    <w:rPr>
                      <w:rFonts w:eastAsia="宋体"/>
                      <w:color w:val="auto"/>
                      <w:szCs w:val="21"/>
                    </w:rPr>
                  </w:pPr>
                  <w:r>
                    <w:rPr>
                      <w:rFonts w:hAnsi="宋体" w:eastAsia="宋体"/>
                      <w:color w:val="auto"/>
                      <w:szCs w:val="21"/>
                    </w:rPr>
                    <w:t>产生量</w:t>
                  </w:r>
                  <w:r>
                    <w:rPr>
                      <w:rFonts w:eastAsia="宋体"/>
                      <w:color w:val="auto"/>
                      <w:szCs w:val="21"/>
                    </w:rPr>
                    <w:t>(t/a)</w:t>
                  </w:r>
                </w:p>
              </w:tc>
              <w:tc>
                <w:tcPr>
                  <w:tcW w:w="2195" w:type="pct"/>
                  <w:vMerge w:val="continue"/>
                  <w:tcBorders>
                    <w:tl2br w:val="nil"/>
                    <w:tr2bl w:val="nil"/>
                  </w:tcBorders>
                  <w:noWrap w:val="0"/>
                  <w:vAlign w:val="center"/>
                </w:tcPr>
                <w:p w14:paraId="57A8779F">
                  <w:pPr>
                    <w:widowControl/>
                    <w:jc w:val="left"/>
                    <w:rPr>
                      <w:rFonts w:eastAsia="宋体"/>
                      <w:color w:val="auto"/>
                      <w:szCs w:val="21"/>
                    </w:rPr>
                  </w:pPr>
                </w:p>
              </w:tc>
              <w:tc>
                <w:tcPr>
                  <w:tcW w:w="615" w:type="pct"/>
                  <w:tcBorders>
                    <w:tl2br w:val="nil"/>
                    <w:tr2bl w:val="nil"/>
                  </w:tcBorders>
                  <w:noWrap w:val="0"/>
                  <w:vAlign w:val="center"/>
                </w:tcPr>
                <w:p w14:paraId="6ADE3C46">
                  <w:pPr>
                    <w:jc w:val="center"/>
                    <w:rPr>
                      <w:rFonts w:eastAsia="宋体"/>
                      <w:color w:val="auto"/>
                      <w:szCs w:val="21"/>
                    </w:rPr>
                  </w:pPr>
                  <w:r>
                    <w:rPr>
                      <w:rFonts w:hint="eastAsia" w:hAnsi="宋体" w:eastAsia="宋体"/>
                      <w:color w:val="auto"/>
                      <w:szCs w:val="21"/>
                    </w:rPr>
                    <w:t>排放</w:t>
                  </w:r>
                  <w:r>
                    <w:rPr>
                      <w:rFonts w:hAnsi="宋体" w:eastAsia="宋体"/>
                      <w:color w:val="auto"/>
                      <w:szCs w:val="21"/>
                    </w:rPr>
                    <w:t>浓度</w:t>
                  </w:r>
                  <w:r>
                    <w:rPr>
                      <w:rFonts w:eastAsia="宋体"/>
                      <w:color w:val="auto"/>
                      <w:szCs w:val="21"/>
                    </w:rPr>
                    <w:t>(mg/L)</w:t>
                  </w:r>
                </w:p>
              </w:tc>
              <w:tc>
                <w:tcPr>
                  <w:tcW w:w="436" w:type="pct"/>
                  <w:tcBorders>
                    <w:tl2br w:val="nil"/>
                    <w:tr2bl w:val="nil"/>
                  </w:tcBorders>
                  <w:noWrap w:val="0"/>
                  <w:vAlign w:val="center"/>
                </w:tcPr>
                <w:p w14:paraId="7A40AB1D">
                  <w:pPr>
                    <w:widowControl/>
                    <w:jc w:val="left"/>
                    <w:rPr>
                      <w:rFonts w:eastAsia="宋体"/>
                      <w:color w:val="auto"/>
                      <w:szCs w:val="21"/>
                    </w:rPr>
                  </w:pPr>
                  <w:r>
                    <w:rPr>
                      <w:rFonts w:hint="eastAsia" w:hAnsi="宋体" w:eastAsia="宋体"/>
                      <w:color w:val="auto"/>
                      <w:szCs w:val="21"/>
                    </w:rPr>
                    <w:t>排放</w:t>
                  </w:r>
                  <w:r>
                    <w:rPr>
                      <w:rFonts w:hAnsi="宋体" w:eastAsia="宋体"/>
                      <w:color w:val="auto"/>
                      <w:szCs w:val="21"/>
                    </w:rPr>
                    <w:t>量</w:t>
                  </w:r>
                  <w:r>
                    <w:rPr>
                      <w:rFonts w:eastAsia="宋体"/>
                      <w:color w:val="auto"/>
                      <w:szCs w:val="21"/>
                    </w:rPr>
                    <w:t>(t/a)</w:t>
                  </w:r>
                </w:p>
              </w:tc>
            </w:tr>
            <w:tr w14:paraId="1148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17" w:hRule="atLeast"/>
              </w:trPr>
              <w:tc>
                <w:tcPr>
                  <w:tcW w:w="191" w:type="pct"/>
                  <w:vMerge w:val="restart"/>
                  <w:tcBorders>
                    <w:tl2br w:val="nil"/>
                    <w:tr2bl w:val="nil"/>
                  </w:tcBorders>
                  <w:noWrap w:val="0"/>
                  <w:vAlign w:val="center"/>
                </w:tcPr>
                <w:p w14:paraId="026E3641">
                  <w:pPr>
                    <w:jc w:val="center"/>
                    <w:rPr>
                      <w:rFonts w:eastAsia="宋体"/>
                      <w:color w:val="auto"/>
                      <w:spacing w:val="-6"/>
                      <w:szCs w:val="21"/>
                    </w:rPr>
                  </w:pPr>
                  <w:r>
                    <w:rPr>
                      <w:rFonts w:hAnsi="宋体" w:eastAsia="宋体"/>
                      <w:color w:val="auto"/>
                      <w:spacing w:val="-6"/>
                      <w:szCs w:val="21"/>
                    </w:rPr>
                    <w:t>生活</w:t>
                  </w:r>
                </w:p>
                <w:p w14:paraId="54DD7390">
                  <w:pPr>
                    <w:jc w:val="center"/>
                    <w:rPr>
                      <w:rFonts w:eastAsia="宋体"/>
                      <w:color w:val="auto"/>
                      <w:spacing w:val="-6"/>
                      <w:szCs w:val="21"/>
                    </w:rPr>
                  </w:pPr>
                  <w:r>
                    <w:rPr>
                      <w:rFonts w:hAnsi="宋体" w:eastAsia="宋体"/>
                      <w:color w:val="auto"/>
                      <w:spacing w:val="-6"/>
                      <w:szCs w:val="21"/>
                    </w:rPr>
                    <w:t>污水</w:t>
                  </w:r>
                </w:p>
              </w:tc>
              <w:tc>
                <w:tcPr>
                  <w:tcW w:w="291" w:type="pct"/>
                  <w:vMerge w:val="restart"/>
                  <w:tcBorders>
                    <w:tl2br w:val="nil"/>
                    <w:tr2bl w:val="nil"/>
                  </w:tcBorders>
                  <w:noWrap w:val="0"/>
                  <w:vAlign w:val="center"/>
                </w:tcPr>
                <w:p w14:paraId="08B3A423">
                  <w:pPr>
                    <w:jc w:val="center"/>
                    <w:rPr>
                      <w:rFonts w:hint="default"/>
                      <w:color w:val="auto"/>
                      <w:lang w:val="en-US" w:eastAsia="zh-CN"/>
                    </w:rPr>
                  </w:pPr>
                  <w:r>
                    <w:rPr>
                      <w:rFonts w:hint="eastAsia"/>
                      <w:color w:val="auto"/>
                      <w:lang w:val="en-US" w:eastAsia="zh-CN"/>
                    </w:rPr>
                    <w:t>240</w:t>
                  </w:r>
                </w:p>
              </w:tc>
              <w:tc>
                <w:tcPr>
                  <w:tcW w:w="318" w:type="pct"/>
                  <w:tcBorders>
                    <w:tl2br w:val="nil"/>
                    <w:tr2bl w:val="nil"/>
                  </w:tcBorders>
                  <w:noWrap w:val="0"/>
                  <w:vAlign w:val="center"/>
                </w:tcPr>
                <w:p w14:paraId="6773ACC4">
                  <w:pPr>
                    <w:jc w:val="center"/>
                    <w:rPr>
                      <w:rFonts w:eastAsia="宋体"/>
                      <w:color w:val="auto"/>
                      <w:szCs w:val="21"/>
                    </w:rPr>
                  </w:pPr>
                  <w:r>
                    <w:rPr>
                      <w:rFonts w:eastAsia="宋体"/>
                      <w:color w:val="auto"/>
                      <w:szCs w:val="21"/>
                    </w:rPr>
                    <w:t>COD</w:t>
                  </w:r>
                </w:p>
              </w:tc>
              <w:tc>
                <w:tcPr>
                  <w:tcW w:w="468" w:type="pct"/>
                  <w:tcBorders>
                    <w:tl2br w:val="nil"/>
                    <w:tr2bl w:val="nil"/>
                  </w:tcBorders>
                  <w:noWrap w:val="0"/>
                  <w:vAlign w:val="center"/>
                </w:tcPr>
                <w:p w14:paraId="77257D99">
                  <w:pPr>
                    <w:autoSpaceDE w:val="0"/>
                    <w:autoSpaceDN w:val="0"/>
                    <w:adjustRightInd w:val="0"/>
                    <w:snapToGrid w:val="0"/>
                    <w:ind w:left="-53" w:leftChars="-25" w:right="-53" w:rightChars="-25"/>
                    <w:jc w:val="center"/>
                    <w:rPr>
                      <w:rFonts w:eastAsia="宋体"/>
                      <w:color w:val="auto"/>
                      <w:szCs w:val="21"/>
                    </w:rPr>
                  </w:pPr>
                  <w:r>
                    <w:rPr>
                      <w:rFonts w:hint="eastAsia" w:eastAsia="宋体"/>
                      <w:color w:val="auto"/>
                      <w:szCs w:val="21"/>
                    </w:rPr>
                    <w:t>300</w:t>
                  </w:r>
                </w:p>
              </w:tc>
              <w:tc>
                <w:tcPr>
                  <w:tcW w:w="434" w:type="pct"/>
                  <w:tcBorders>
                    <w:tl2br w:val="nil"/>
                    <w:tr2bl w:val="nil"/>
                  </w:tcBorders>
                  <w:noWrap w:val="0"/>
                  <w:vAlign w:val="center"/>
                </w:tcPr>
                <w:p w14:paraId="4B22C61A">
                  <w:pPr>
                    <w:jc w:val="center"/>
                    <w:textAlignment w:val="bottom"/>
                    <w:rPr>
                      <w:rFonts w:hint="default" w:eastAsia="宋体"/>
                      <w:color w:val="auto"/>
                      <w:szCs w:val="21"/>
                      <w:lang w:val="en-US" w:eastAsia="zh-CN"/>
                    </w:rPr>
                  </w:pPr>
                  <w:r>
                    <w:rPr>
                      <w:rFonts w:hint="eastAsia" w:eastAsia="宋体"/>
                      <w:color w:val="auto"/>
                      <w:szCs w:val="21"/>
                      <w:lang w:val="en-US" w:eastAsia="zh-CN"/>
                    </w:rPr>
                    <w:t>0.072</w:t>
                  </w:r>
                </w:p>
              </w:tc>
              <w:tc>
                <w:tcPr>
                  <w:tcW w:w="2195" w:type="pct"/>
                  <w:vMerge w:val="restart"/>
                  <w:tcBorders>
                    <w:tl2br w:val="nil"/>
                    <w:tr2bl w:val="nil"/>
                  </w:tcBorders>
                  <w:noWrap w:val="0"/>
                  <w:vAlign w:val="center"/>
                </w:tcPr>
                <w:p w14:paraId="2F270976">
                  <w:pPr>
                    <w:jc w:val="center"/>
                    <w:rPr>
                      <w:rFonts w:eastAsia="宋体"/>
                      <w:color w:val="auto"/>
                      <w:szCs w:val="21"/>
                    </w:rPr>
                  </w:pPr>
                  <w:r>
                    <w:rPr>
                      <w:rFonts w:hint="eastAsia" w:hAnsi="宋体" w:eastAsia="宋体"/>
                      <w:color w:val="auto"/>
                      <w:szCs w:val="21"/>
                    </w:rPr>
                    <w:t>经化粪池预处理后</w:t>
                  </w:r>
                  <w:r>
                    <w:rPr>
                      <w:rFonts w:hAnsi="宋体" w:eastAsia="宋体"/>
                      <w:color w:val="auto"/>
                      <w:szCs w:val="21"/>
                    </w:rPr>
                    <w:t>接入</w:t>
                  </w:r>
                  <w:r>
                    <w:rPr>
                      <w:rFonts w:hint="eastAsia" w:hAnsi="宋体" w:eastAsia="宋体"/>
                      <w:color w:val="auto"/>
                      <w:szCs w:val="21"/>
                      <w:lang w:eastAsia="zh-CN"/>
                    </w:rPr>
                    <w:t>蚌埠市第一污水处理厂</w:t>
                  </w:r>
                  <w:r>
                    <w:rPr>
                      <w:rFonts w:hAnsi="宋体" w:eastAsia="宋体"/>
                      <w:color w:val="auto"/>
                      <w:szCs w:val="21"/>
                    </w:rPr>
                    <w:t>处理达标后排入</w:t>
                  </w:r>
                  <w:r>
                    <w:rPr>
                      <w:rFonts w:hint="eastAsia" w:hAnsi="宋体" w:eastAsia="宋体"/>
                      <w:color w:val="auto"/>
                      <w:szCs w:val="21"/>
                    </w:rPr>
                    <w:t>淮河</w:t>
                  </w:r>
                </w:p>
              </w:tc>
              <w:tc>
                <w:tcPr>
                  <w:tcW w:w="615" w:type="pct"/>
                  <w:tcBorders>
                    <w:tl2br w:val="nil"/>
                    <w:tr2bl w:val="nil"/>
                  </w:tcBorders>
                  <w:noWrap w:val="0"/>
                  <w:vAlign w:val="center"/>
                </w:tcPr>
                <w:p w14:paraId="044B49C2">
                  <w:pPr>
                    <w:jc w:val="center"/>
                    <w:rPr>
                      <w:color w:val="auto"/>
                      <w:szCs w:val="21"/>
                    </w:rPr>
                  </w:pPr>
                  <w:r>
                    <w:rPr>
                      <w:rFonts w:hint="eastAsia"/>
                      <w:color w:val="auto"/>
                      <w:szCs w:val="21"/>
                    </w:rPr>
                    <w:t>28</w:t>
                  </w:r>
                  <w:r>
                    <w:rPr>
                      <w:color w:val="auto"/>
                      <w:szCs w:val="21"/>
                    </w:rPr>
                    <w:t>0</w:t>
                  </w:r>
                </w:p>
              </w:tc>
              <w:tc>
                <w:tcPr>
                  <w:tcW w:w="436" w:type="pct"/>
                  <w:tcBorders>
                    <w:tl2br w:val="nil"/>
                    <w:tr2bl w:val="nil"/>
                  </w:tcBorders>
                  <w:noWrap w:val="0"/>
                  <w:vAlign w:val="center"/>
                </w:tcPr>
                <w:p w14:paraId="0B2D88F9">
                  <w:pPr>
                    <w:snapToGrid w:val="0"/>
                    <w:jc w:val="center"/>
                    <w:rPr>
                      <w:rFonts w:hint="default" w:eastAsia="宋体"/>
                      <w:color w:val="auto"/>
                      <w:szCs w:val="21"/>
                      <w:lang w:val="en-US" w:eastAsia="zh-CN"/>
                    </w:rPr>
                  </w:pPr>
                  <w:r>
                    <w:rPr>
                      <w:rFonts w:hint="eastAsia"/>
                      <w:color w:val="auto"/>
                      <w:szCs w:val="21"/>
                      <w:lang w:val="en-US" w:eastAsia="zh-CN"/>
                    </w:rPr>
                    <w:t>0.0672</w:t>
                  </w:r>
                </w:p>
              </w:tc>
            </w:tr>
            <w:tr w14:paraId="64B1B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17" w:hRule="atLeast"/>
              </w:trPr>
              <w:tc>
                <w:tcPr>
                  <w:tcW w:w="191" w:type="pct"/>
                  <w:vMerge w:val="continue"/>
                  <w:tcBorders>
                    <w:tl2br w:val="nil"/>
                    <w:tr2bl w:val="nil"/>
                  </w:tcBorders>
                  <w:noWrap w:val="0"/>
                  <w:vAlign w:val="center"/>
                </w:tcPr>
                <w:p w14:paraId="2CC8A65B">
                  <w:pPr>
                    <w:widowControl/>
                    <w:jc w:val="left"/>
                    <w:rPr>
                      <w:rFonts w:eastAsia="宋体"/>
                      <w:color w:val="auto"/>
                      <w:spacing w:val="-6"/>
                      <w:szCs w:val="21"/>
                    </w:rPr>
                  </w:pPr>
                </w:p>
              </w:tc>
              <w:tc>
                <w:tcPr>
                  <w:tcW w:w="291" w:type="pct"/>
                  <w:vMerge w:val="continue"/>
                  <w:tcBorders>
                    <w:tl2br w:val="nil"/>
                    <w:tr2bl w:val="nil"/>
                  </w:tcBorders>
                  <w:noWrap w:val="0"/>
                  <w:vAlign w:val="center"/>
                </w:tcPr>
                <w:p w14:paraId="48F67290">
                  <w:pPr>
                    <w:widowControl/>
                    <w:jc w:val="left"/>
                    <w:rPr>
                      <w:rFonts w:eastAsia="宋体"/>
                      <w:color w:val="auto"/>
                      <w:szCs w:val="21"/>
                    </w:rPr>
                  </w:pPr>
                </w:p>
              </w:tc>
              <w:tc>
                <w:tcPr>
                  <w:tcW w:w="318" w:type="pct"/>
                  <w:tcBorders>
                    <w:tl2br w:val="nil"/>
                    <w:tr2bl w:val="nil"/>
                  </w:tcBorders>
                  <w:noWrap w:val="0"/>
                  <w:vAlign w:val="center"/>
                </w:tcPr>
                <w:p w14:paraId="728C68B6">
                  <w:pPr>
                    <w:jc w:val="center"/>
                    <w:rPr>
                      <w:rFonts w:eastAsia="宋体"/>
                      <w:color w:val="auto"/>
                      <w:szCs w:val="21"/>
                    </w:rPr>
                  </w:pPr>
                  <w:r>
                    <w:rPr>
                      <w:rFonts w:eastAsia="宋体"/>
                      <w:color w:val="auto"/>
                      <w:szCs w:val="21"/>
                    </w:rPr>
                    <w:t>SS</w:t>
                  </w:r>
                </w:p>
              </w:tc>
              <w:tc>
                <w:tcPr>
                  <w:tcW w:w="468" w:type="pct"/>
                  <w:tcBorders>
                    <w:tl2br w:val="nil"/>
                    <w:tr2bl w:val="nil"/>
                  </w:tcBorders>
                  <w:noWrap w:val="0"/>
                  <w:vAlign w:val="center"/>
                </w:tcPr>
                <w:p w14:paraId="7304C5B0">
                  <w:pPr>
                    <w:autoSpaceDE w:val="0"/>
                    <w:autoSpaceDN w:val="0"/>
                    <w:adjustRightInd w:val="0"/>
                    <w:snapToGrid w:val="0"/>
                    <w:ind w:left="-53" w:leftChars="-25" w:right="-53" w:rightChars="-25"/>
                    <w:jc w:val="center"/>
                    <w:rPr>
                      <w:rFonts w:eastAsia="宋体"/>
                      <w:color w:val="auto"/>
                      <w:szCs w:val="21"/>
                    </w:rPr>
                  </w:pPr>
                  <w:r>
                    <w:rPr>
                      <w:rFonts w:hint="eastAsia" w:eastAsia="宋体"/>
                      <w:color w:val="auto"/>
                      <w:szCs w:val="21"/>
                    </w:rPr>
                    <w:t>250</w:t>
                  </w:r>
                </w:p>
              </w:tc>
              <w:tc>
                <w:tcPr>
                  <w:tcW w:w="434" w:type="pct"/>
                  <w:tcBorders>
                    <w:tl2br w:val="nil"/>
                    <w:tr2bl w:val="nil"/>
                  </w:tcBorders>
                  <w:noWrap w:val="0"/>
                  <w:vAlign w:val="center"/>
                </w:tcPr>
                <w:p w14:paraId="120A15D9">
                  <w:pPr>
                    <w:snapToGrid w:val="0"/>
                    <w:jc w:val="center"/>
                    <w:textAlignment w:val="bottom"/>
                    <w:rPr>
                      <w:rFonts w:hint="default" w:eastAsia="宋体"/>
                      <w:color w:val="auto"/>
                      <w:szCs w:val="21"/>
                      <w:lang w:val="en-US" w:eastAsia="zh-CN"/>
                    </w:rPr>
                  </w:pPr>
                  <w:r>
                    <w:rPr>
                      <w:rFonts w:hint="eastAsia" w:eastAsia="宋体"/>
                      <w:color w:val="auto"/>
                      <w:szCs w:val="21"/>
                      <w:lang w:val="en-US" w:eastAsia="zh-CN"/>
                    </w:rPr>
                    <w:t>0.06</w:t>
                  </w:r>
                </w:p>
              </w:tc>
              <w:tc>
                <w:tcPr>
                  <w:tcW w:w="2195" w:type="pct"/>
                  <w:vMerge w:val="continue"/>
                  <w:tcBorders>
                    <w:tl2br w:val="nil"/>
                    <w:tr2bl w:val="nil"/>
                  </w:tcBorders>
                  <w:noWrap w:val="0"/>
                  <w:vAlign w:val="center"/>
                </w:tcPr>
                <w:p w14:paraId="4182217D">
                  <w:pPr>
                    <w:widowControl/>
                    <w:jc w:val="left"/>
                    <w:rPr>
                      <w:rFonts w:eastAsia="宋体"/>
                      <w:color w:val="auto"/>
                      <w:szCs w:val="21"/>
                    </w:rPr>
                  </w:pPr>
                </w:p>
              </w:tc>
              <w:tc>
                <w:tcPr>
                  <w:tcW w:w="615" w:type="pct"/>
                  <w:tcBorders>
                    <w:tl2br w:val="nil"/>
                    <w:tr2bl w:val="nil"/>
                  </w:tcBorders>
                  <w:noWrap w:val="0"/>
                  <w:vAlign w:val="center"/>
                </w:tcPr>
                <w:p w14:paraId="679DC0D7">
                  <w:pPr>
                    <w:jc w:val="center"/>
                    <w:rPr>
                      <w:color w:val="auto"/>
                      <w:szCs w:val="21"/>
                    </w:rPr>
                  </w:pPr>
                  <w:r>
                    <w:rPr>
                      <w:rFonts w:hint="eastAsia"/>
                      <w:color w:val="auto"/>
                      <w:szCs w:val="21"/>
                    </w:rPr>
                    <w:t>150</w:t>
                  </w:r>
                </w:p>
              </w:tc>
              <w:tc>
                <w:tcPr>
                  <w:tcW w:w="436" w:type="pct"/>
                  <w:tcBorders>
                    <w:tl2br w:val="nil"/>
                    <w:tr2bl w:val="nil"/>
                  </w:tcBorders>
                  <w:noWrap w:val="0"/>
                  <w:vAlign w:val="center"/>
                </w:tcPr>
                <w:p w14:paraId="04183DD5">
                  <w:pPr>
                    <w:adjustRightInd w:val="0"/>
                    <w:snapToGrid w:val="0"/>
                    <w:jc w:val="center"/>
                    <w:rPr>
                      <w:rFonts w:hint="default" w:eastAsia="宋体"/>
                      <w:color w:val="auto"/>
                      <w:szCs w:val="21"/>
                      <w:lang w:val="en-US" w:eastAsia="zh-CN"/>
                    </w:rPr>
                  </w:pPr>
                  <w:r>
                    <w:rPr>
                      <w:rFonts w:hint="eastAsia"/>
                      <w:color w:val="auto"/>
                      <w:szCs w:val="21"/>
                      <w:lang w:val="en-US" w:eastAsia="zh-CN"/>
                    </w:rPr>
                    <w:t>0.036</w:t>
                  </w:r>
                </w:p>
              </w:tc>
            </w:tr>
            <w:tr w14:paraId="4E452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17" w:hRule="atLeast"/>
              </w:trPr>
              <w:tc>
                <w:tcPr>
                  <w:tcW w:w="191" w:type="pct"/>
                  <w:vMerge w:val="continue"/>
                  <w:tcBorders>
                    <w:tl2br w:val="nil"/>
                    <w:tr2bl w:val="nil"/>
                  </w:tcBorders>
                  <w:noWrap w:val="0"/>
                  <w:vAlign w:val="center"/>
                </w:tcPr>
                <w:p w14:paraId="673E6D24">
                  <w:pPr>
                    <w:widowControl/>
                    <w:jc w:val="left"/>
                    <w:rPr>
                      <w:rFonts w:eastAsia="宋体"/>
                      <w:color w:val="auto"/>
                      <w:spacing w:val="-6"/>
                      <w:szCs w:val="21"/>
                    </w:rPr>
                  </w:pPr>
                </w:p>
              </w:tc>
              <w:tc>
                <w:tcPr>
                  <w:tcW w:w="291" w:type="pct"/>
                  <w:vMerge w:val="continue"/>
                  <w:tcBorders>
                    <w:tl2br w:val="nil"/>
                    <w:tr2bl w:val="nil"/>
                  </w:tcBorders>
                  <w:noWrap w:val="0"/>
                  <w:vAlign w:val="center"/>
                </w:tcPr>
                <w:p w14:paraId="1A3EC43B">
                  <w:pPr>
                    <w:widowControl/>
                    <w:jc w:val="left"/>
                    <w:rPr>
                      <w:rFonts w:eastAsia="宋体"/>
                      <w:color w:val="auto"/>
                      <w:szCs w:val="21"/>
                    </w:rPr>
                  </w:pPr>
                </w:p>
              </w:tc>
              <w:tc>
                <w:tcPr>
                  <w:tcW w:w="318" w:type="pct"/>
                  <w:tcBorders>
                    <w:tl2br w:val="nil"/>
                    <w:tr2bl w:val="nil"/>
                  </w:tcBorders>
                  <w:noWrap w:val="0"/>
                  <w:vAlign w:val="center"/>
                </w:tcPr>
                <w:p w14:paraId="4CF63AF3">
                  <w:pPr>
                    <w:jc w:val="center"/>
                    <w:rPr>
                      <w:rFonts w:eastAsia="宋体"/>
                      <w:color w:val="auto"/>
                      <w:szCs w:val="21"/>
                    </w:rPr>
                  </w:pPr>
                  <w:r>
                    <w:rPr>
                      <w:rFonts w:hAnsi="宋体" w:eastAsia="宋体"/>
                      <w:color w:val="auto"/>
                      <w:szCs w:val="21"/>
                    </w:rPr>
                    <w:t>氨氮</w:t>
                  </w:r>
                </w:p>
              </w:tc>
              <w:tc>
                <w:tcPr>
                  <w:tcW w:w="468" w:type="pct"/>
                  <w:tcBorders>
                    <w:tl2br w:val="nil"/>
                    <w:tr2bl w:val="nil"/>
                  </w:tcBorders>
                  <w:noWrap w:val="0"/>
                  <w:vAlign w:val="center"/>
                </w:tcPr>
                <w:p w14:paraId="1FD80D1A">
                  <w:pPr>
                    <w:autoSpaceDE w:val="0"/>
                    <w:autoSpaceDN w:val="0"/>
                    <w:adjustRightInd w:val="0"/>
                    <w:snapToGrid w:val="0"/>
                    <w:ind w:left="-53" w:leftChars="-25" w:right="-53" w:rightChars="-25"/>
                    <w:jc w:val="center"/>
                    <w:rPr>
                      <w:rFonts w:eastAsia="宋体"/>
                      <w:color w:val="auto"/>
                      <w:szCs w:val="21"/>
                    </w:rPr>
                  </w:pPr>
                  <w:r>
                    <w:rPr>
                      <w:rFonts w:hint="eastAsia" w:eastAsia="宋体"/>
                      <w:color w:val="auto"/>
                      <w:szCs w:val="21"/>
                    </w:rPr>
                    <w:t>25</w:t>
                  </w:r>
                </w:p>
              </w:tc>
              <w:tc>
                <w:tcPr>
                  <w:tcW w:w="434" w:type="pct"/>
                  <w:tcBorders>
                    <w:tl2br w:val="nil"/>
                    <w:tr2bl w:val="nil"/>
                  </w:tcBorders>
                  <w:noWrap w:val="0"/>
                  <w:vAlign w:val="center"/>
                </w:tcPr>
                <w:p w14:paraId="310B2534">
                  <w:pPr>
                    <w:snapToGrid w:val="0"/>
                    <w:jc w:val="center"/>
                    <w:textAlignment w:val="bottom"/>
                    <w:rPr>
                      <w:rFonts w:hint="default" w:eastAsia="宋体"/>
                      <w:color w:val="auto"/>
                      <w:szCs w:val="21"/>
                      <w:lang w:val="en-US" w:eastAsia="zh-CN"/>
                    </w:rPr>
                  </w:pPr>
                  <w:r>
                    <w:rPr>
                      <w:rFonts w:hint="eastAsia" w:eastAsia="宋体"/>
                      <w:color w:val="auto"/>
                      <w:szCs w:val="21"/>
                      <w:lang w:val="en-US" w:eastAsia="zh-CN"/>
                    </w:rPr>
                    <w:t>0.006</w:t>
                  </w:r>
                </w:p>
              </w:tc>
              <w:tc>
                <w:tcPr>
                  <w:tcW w:w="2195" w:type="pct"/>
                  <w:vMerge w:val="continue"/>
                  <w:tcBorders>
                    <w:tl2br w:val="nil"/>
                    <w:tr2bl w:val="nil"/>
                  </w:tcBorders>
                  <w:noWrap w:val="0"/>
                  <w:vAlign w:val="center"/>
                </w:tcPr>
                <w:p w14:paraId="3E041E22">
                  <w:pPr>
                    <w:widowControl/>
                    <w:jc w:val="left"/>
                    <w:rPr>
                      <w:rFonts w:eastAsia="宋体"/>
                      <w:color w:val="auto"/>
                      <w:szCs w:val="21"/>
                    </w:rPr>
                  </w:pPr>
                </w:p>
              </w:tc>
              <w:tc>
                <w:tcPr>
                  <w:tcW w:w="615" w:type="pct"/>
                  <w:tcBorders>
                    <w:tl2br w:val="nil"/>
                    <w:tr2bl w:val="nil"/>
                  </w:tcBorders>
                  <w:noWrap w:val="0"/>
                  <w:vAlign w:val="center"/>
                </w:tcPr>
                <w:p w14:paraId="14318906">
                  <w:pPr>
                    <w:jc w:val="center"/>
                    <w:rPr>
                      <w:color w:val="auto"/>
                      <w:szCs w:val="21"/>
                    </w:rPr>
                  </w:pPr>
                  <w:r>
                    <w:rPr>
                      <w:rFonts w:hint="eastAsia"/>
                      <w:color w:val="auto"/>
                      <w:szCs w:val="21"/>
                    </w:rPr>
                    <w:t>25</w:t>
                  </w:r>
                </w:p>
              </w:tc>
              <w:tc>
                <w:tcPr>
                  <w:tcW w:w="436" w:type="pct"/>
                  <w:tcBorders>
                    <w:tl2br w:val="nil"/>
                    <w:tr2bl w:val="nil"/>
                  </w:tcBorders>
                  <w:noWrap w:val="0"/>
                  <w:vAlign w:val="center"/>
                </w:tcPr>
                <w:p w14:paraId="4A19284B">
                  <w:pPr>
                    <w:adjustRightInd w:val="0"/>
                    <w:snapToGrid w:val="0"/>
                    <w:jc w:val="center"/>
                    <w:rPr>
                      <w:rFonts w:hint="default" w:eastAsia="宋体"/>
                      <w:color w:val="auto"/>
                      <w:szCs w:val="21"/>
                      <w:lang w:val="en-US" w:eastAsia="zh-CN"/>
                    </w:rPr>
                  </w:pPr>
                  <w:r>
                    <w:rPr>
                      <w:rFonts w:hint="eastAsia"/>
                      <w:color w:val="auto"/>
                      <w:szCs w:val="21"/>
                      <w:lang w:val="en-US" w:eastAsia="zh-CN"/>
                    </w:rPr>
                    <w:t>0.006</w:t>
                  </w:r>
                </w:p>
              </w:tc>
            </w:tr>
            <w:tr w14:paraId="13CB2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17" w:hRule="atLeast"/>
              </w:trPr>
              <w:tc>
                <w:tcPr>
                  <w:tcW w:w="191" w:type="pct"/>
                  <w:vMerge w:val="continue"/>
                  <w:tcBorders>
                    <w:tl2br w:val="nil"/>
                    <w:tr2bl w:val="nil"/>
                  </w:tcBorders>
                  <w:noWrap w:val="0"/>
                  <w:vAlign w:val="center"/>
                </w:tcPr>
                <w:p w14:paraId="342CAC08">
                  <w:pPr>
                    <w:widowControl/>
                    <w:jc w:val="left"/>
                    <w:rPr>
                      <w:rFonts w:eastAsia="宋体"/>
                      <w:color w:val="auto"/>
                      <w:spacing w:val="-6"/>
                      <w:szCs w:val="21"/>
                    </w:rPr>
                  </w:pPr>
                </w:p>
              </w:tc>
              <w:tc>
                <w:tcPr>
                  <w:tcW w:w="291" w:type="pct"/>
                  <w:vMerge w:val="continue"/>
                  <w:tcBorders>
                    <w:tl2br w:val="nil"/>
                    <w:tr2bl w:val="nil"/>
                  </w:tcBorders>
                  <w:noWrap w:val="0"/>
                  <w:vAlign w:val="center"/>
                </w:tcPr>
                <w:p w14:paraId="69966141">
                  <w:pPr>
                    <w:widowControl/>
                    <w:jc w:val="left"/>
                    <w:rPr>
                      <w:rFonts w:eastAsia="宋体"/>
                      <w:color w:val="auto"/>
                      <w:szCs w:val="21"/>
                    </w:rPr>
                  </w:pPr>
                </w:p>
              </w:tc>
              <w:tc>
                <w:tcPr>
                  <w:tcW w:w="318" w:type="pct"/>
                  <w:tcBorders>
                    <w:tl2br w:val="nil"/>
                    <w:tr2bl w:val="nil"/>
                  </w:tcBorders>
                  <w:noWrap w:val="0"/>
                  <w:vAlign w:val="center"/>
                </w:tcPr>
                <w:p w14:paraId="3B48C6A0">
                  <w:pPr>
                    <w:jc w:val="center"/>
                    <w:rPr>
                      <w:rFonts w:hAnsi="宋体" w:eastAsia="宋体"/>
                      <w:color w:val="auto"/>
                      <w:szCs w:val="21"/>
                    </w:rPr>
                  </w:pPr>
                  <w:r>
                    <w:rPr>
                      <w:rFonts w:hint="eastAsia" w:hAnsi="宋体" w:eastAsia="宋体"/>
                      <w:color w:val="auto"/>
                      <w:szCs w:val="21"/>
                    </w:rPr>
                    <w:t>BOD</w:t>
                  </w:r>
                  <w:r>
                    <w:rPr>
                      <w:rFonts w:hint="eastAsia" w:hAnsi="宋体" w:eastAsia="宋体"/>
                      <w:color w:val="auto"/>
                      <w:szCs w:val="21"/>
                      <w:vertAlign w:val="subscript"/>
                    </w:rPr>
                    <w:t>5</w:t>
                  </w:r>
                </w:p>
              </w:tc>
              <w:tc>
                <w:tcPr>
                  <w:tcW w:w="468" w:type="pct"/>
                  <w:tcBorders>
                    <w:tl2br w:val="nil"/>
                    <w:tr2bl w:val="nil"/>
                  </w:tcBorders>
                  <w:noWrap w:val="0"/>
                  <w:vAlign w:val="center"/>
                </w:tcPr>
                <w:p w14:paraId="1A8A760D">
                  <w:pPr>
                    <w:autoSpaceDE w:val="0"/>
                    <w:autoSpaceDN w:val="0"/>
                    <w:adjustRightInd w:val="0"/>
                    <w:snapToGrid w:val="0"/>
                    <w:ind w:left="-53" w:leftChars="-25" w:right="-53" w:rightChars="-25"/>
                    <w:jc w:val="center"/>
                    <w:rPr>
                      <w:rFonts w:eastAsia="宋体"/>
                      <w:color w:val="auto"/>
                      <w:szCs w:val="21"/>
                    </w:rPr>
                  </w:pPr>
                  <w:r>
                    <w:rPr>
                      <w:rFonts w:hint="eastAsia" w:eastAsia="宋体"/>
                      <w:color w:val="auto"/>
                      <w:szCs w:val="21"/>
                    </w:rPr>
                    <w:t>150</w:t>
                  </w:r>
                </w:p>
              </w:tc>
              <w:tc>
                <w:tcPr>
                  <w:tcW w:w="434" w:type="pct"/>
                  <w:tcBorders>
                    <w:tl2br w:val="nil"/>
                    <w:tr2bl w:val="nil"/>
                  </w:tcBorders>
                  <w:noWrap w:val="0"/>
                  <w:vAlign w:val="center"/>
                </w:tcPr>
                <w:p w14:paraId="00370D80">
                  <w:pPr>
                    <w:snapToGrid w:val="0"/>
                    <w:jc w:val="center"/>
                    <w:textAlignment w:val="bottom"/>
                    <w:rPr>
                      <w:rFonts w:hint="default" w:eastAsia="宋体"/>
                      <w:color w:val="auto"/>
                      <w:szCs w:val="21"/>
                      <w:lang w:val="en-US" w:eastAsia="zh-CN"/>
                    </w:rPr>
                  </w:pPr>
                  <w:r>
                    <w:rPr>
                      <w:rFonts w:hint="eastAsia" w:eastAsia="宋体"/>
                      <w:color w:val="auto"/>
                      <w:szCs w:val="21"/>
                      <w:lang w:val="en-US" w:eastAsia="zh-CN"/>
                    </w:rPr>
                    <w:t>0.036</w:t>
                  </w:r>
                </w:p>
              </w:tc>
              <w:tc>
                <w:tcPr>
                  <w:tcW w:w="2195" w:type="pct"/>
                  <w:vMerge w:val="continue"/>
                  <w:tcBorders>
                    <w:tl2br w:val="nil"/>
                    <w:tr2bl w:val="nil"/>
                  </w:tcBorders>
                  <w:noWrap w:val="0"/>
                  <w:vAlign w:val="center"/>
                </w:tcPr>
                <w:p w14:paraId="6B8FA131">
                  <w:pPr>
                    <w:widowControl/>
                    <w:jc w:val="left"/>
                    <w:rPr>
                      <w:rFonts w:eastAsia="宋体"/>
                      <w:color w:val="auto"/>
                      <w:szCs w:val="21"/>
                    </w:rPr>
                  </w:pPr>
                </w:p>
              </w:tc>
              <w:tc>
                <w:tcPr>
                  <w:tcW w:w="615" w:type="pct"/>
                  <w:tcBorders>
                    <w:tl2br w:val="nil"/>
                    <w:tr2bl w:val="nil"/>
                  </w:tcBorders>
                  <w:noWrap w:val="0"/>
                  <w:vAlign w:val="center"/>
                </w:tcPr>
                <w:p w14:paraId="41C86C57">
                  <w:pPr>
                    <w:jc w:val="center"/>
                    <w:rPr>
                      <w:color w:val="auto"/>
                      <w:szCs w:val="21"/>
                    </w:rPr>
                  </w:pPr>
                  <w:r>
                    <w:rPr>
                      <w:rFonts w:hint="eastAsia"/>
                      <w:color w:val="auto"/>
                      <w:szCs w:val="21"/>
                    </w:rPr>
                    <w:t>120</w:t>
                  </w:r>
                </w:p>
              </w:tc>
              <w:tc>
                <w:tcPr>
                  <w:tcW w:w="436" w:type="pct"/>
                  <w:tcBorders>
                    <w:tl2br w:val="nil"/>
                    <w:tr2bl w:val="nil"/>
                  </w:tcBorders>
                  <w:noWrap w:val="0"/>
                  <w:vAlign w:val="center"/>
                </w:tcPr>
                <w:p w14:paraId="4F2F120C">
                  <w:pPr>
                    <w:adjustRightInd w:val="0"/>
                    <w:snapToGrid w:val="0"/>
                    <w:jc w:val="center"/>
                    <w:rPr>
                      <w:rFonts w:hint="default" w:eastAsia="宋体"/>
                      <w:color w:val="auto"/>
                      <w:szCs w:val="21"/>
                      <w:lang w:val="en-US" w:eastAsia="zh-CN"/>
                    </w:rPr>
                  </w:pPr>
                  <w:r>
                    <w:rPr>
                      <w:rFonts w:hint="eastAsia"/>
                      <w:color w:val="auto"/>
                      <w:szCs w:val="21"/>
                      <w:lang w:val="en-US" w:eastAsia="zh-CN"/>
                    </w:rPr>
                    <w:t>0.0288</w:t>
                  </w:r>
                </w:p>
              </w:tc>
            </w:tr>
          </w:tbl>
          <w:p w14:paraId="05C3D154">
            <w:pPr>
              <w:spacing w:line="400" w:lineRule="atLeast"/>
              <w:jc w:val="center"/>
              <w:rPr>
                <w:b/>
                <w:color w:val="auto"/>
                <w:sz w:val="24"/>
              </w:rPr>
            </w:pPr>
            <w:r>
              <w:rPr>
                <w:b/>
                <w:color w:val="auto"/>
                <w:sz w:val="24"/>
              </w:rPr>
              <w:t>表</w:t>
            </w:r>
            <w:r>
              <w:rPr>
                <w:rFonts w:hint="eastAsia"/>
                <w:b/>
                <w:color w:val="auto"/>
                <w:sz w:val="24"/>
              </w:rPr>
              <w:t>4-</w:t>
            </w:r>
            <w:r>
              <w:rPr>
                <w:b/>
                <w:color w:val="auto"/>
                <w:sz w:val="24"/>
              </w:rPr>
              <w:t>11  废水类别、污染物及污染治理设施信息表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704"/>
              <w:gridCol w:w="761"/>
              <w:gridCol w:w="675"/>
              <w:gridCol w:w="1498"/>
              <w:gridCol w:w="613"/>
              <w:gridCol w:w="691"/>
              <w:gridCol w:w="682"/>
              <w:gridCol w:w="918"/>
              <w:gridCol w:w="754"/>
              <w:gridCol w:w="1729"/>
            </w:tblGrid>
            <w:tr w14:paraId="3688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dxa"/>
                  <w:vMerge w:val="restart"/>
                  <w:vAlign w:val="center"/>
                </w:tcPr>
                <w:p w14:paraId="5FCA16EC">
                  <w:pPr>
                    <w:jc w:val="center"/>
                    <w:rPr>
                      <w:color w:val="auto"/>
                      <w:szCs w:val="21"/>
                    </w:rPr>
                  </w:pPr>
                  <w:r>
                    <w:rPr>
                      <w:color w:val="auto"/>
                      <w:szCs w:val="21"/>
                    </w:rPr>
                    <w:t>序号</w:t>
                  </w:r>
                </w:p>
              </w:tc>
              <w:tc>
                <w:tcPr>
                  <w:tcW w:w="709" w:type="dxa"/>
                  <w:vMerge w:val="restart"/>
                  <w:vAlign w:val="center"/>
                </w:tcPr>
                <w:p w14:paraId="3B6F8AA2">
                  <w:pPr>
                    <w:jc w:val="center"/>
                    <w:rPr>
                      <w:color w:val="auto"/>
                      <w:szCs w:val="21"/>
                    </w:rPr>
                  </w:pPr>
                  <w:r>
                    <w:rPr>
                      <w:color w:val="auto"/>
                      <w:szCs w:val="21"/>
                    </w:rPr>
                    <w:t>废水类别</w:t>
                  </w:r>
                </w:p>
              </w:tc>
              <w:tc>
                <w:tcPr>
                  <w:tcW w:w="767" w:type="dxa"/>
                  <w:vMerge w:val="restart"/>
                  <w:vAlign w:val="center"/>
                </w:tcPr>
                <w:p w14:paraId="0B71FACF">
                  <w:pPr>
                    <w:jc w:val="center"/>
                    <w:rPr>
                      <w:color w:val="auto"/>
                      <w:szCs w:val="21"/>
                    </w:rPr>
                  </w:pPr>
                  <w:r>
                    <w:rPr>
                      <w:color w:val="auto"/>
                      <w:szCs w:val="21"/>
                    </w:rPr>
                    <w:t>污染物种类</w:t>
                  </w:r>
                </w:p>
              </w:tc>
              <w:tc>
                <w:tcPr>
                  <w:tcW w:w="680" w:type="dxa"/>
                  <w:vMerge w:val="restart"/>
                  <w:vAlign w:val="center"/>
                </w:tcPr>
                <w:p w14:paraId="037AE592">
                  <w:pPr>
                    <w:jc w:val="center"/>
                    <w:rPr>
                      <w:color w:val="auto"/>
                      <w:szCs w:val="21"/>
                    </w:rPr>
                  </w:pPr>
                  <w:r>
                    <w:rPr>
                      <w:color w:val="auto"/>
                      <w:szCs w:val="21"/>
                    </w:rPr>
                    <w:t>排放</w:t>
                  </w:r>
                </w:p>
                <w:p w14:paraId="763F671C">
                  <w:pPr>
                    <w:jc w:val="center"/>
                    <w:rPr>
                      <w:color w:val="auto"/>
                      <w:szCs w:val="21"/>
                    </w:rPr>
                  </w:pPr>
                  <w:r>
                    <w:rPr>
                      <w:color w:val="auto"/>
                      <w:szCs w:val="21"/>
                    </w:rPr>
                    <w:t>去向</w:t>
                  </w:r>
                </w:p>
              </w:tc>
              <w:tc>
                <w:tcPr>
                  <w:tcW w:w="1513" w:type="dxa"/>
                  <w:vMerge w:val="restart"/>
                  <w:vAlign w:val="center"/>
                </w:tcPr>
                <w:p w14:paraId="6C811705">
                  <w:pPr>
                    <w:jc w:val="center"/>
                    <w:rPr>
                      <w:color w:val="auto"/>
                      <w:szCs w:val="21"/>
                    </w:rPr>
                  </w:pPr>
                  <w:r>
                    <w:rPr>
                      <w:color w:val="auto"/>
                      <w:szCs w:val="21"/>
                    </w:rPr>
                    <w:t>排放</w:t>
                  </w:r>
                </w:p>
                <w:p w14:paraId="35E13C59">
                  <w:pPr>
                    <w:jc w:val="center"/>
                    <w:rPr>
                      <w:color w:val="auto"/>
                      <w:szCs w:val="21"/>
                    </w:rPr>
                  </w:pPr>
                  <w:r>
                    <w:rPr>
                      <w:color w:val="auto"/>
                      <w:szCs w:val="21"/>
                    </w:rPr>
                    <w:t>规律</w:t>
                  </w:r>
                </w:p>
              </w:tc>
              <w:tc>
                <w:tcPr>
                  <w:tcW w:w="2000" w:type="dxa"/>
                  <w:gridSpan w:val="3"/>
                  <w:vAlign w:val="center"/>
                </w:tcPr>
                <w:p w14:paraId="3124E4BB">
                  <w:pPr>
                    <w:jc w:val="center"/>
                    <w:rPr>
                      <w:color w:val="auto"/>
                      <w:szCs w:val="21"/>
                    </w:rPr>
                  </w:pPr>
                  <w:r>
                    <w:rPr>
                      <w:color w:val="auto"/>
                      <w:szCs w:val="21"/>
                    </w:rPr>
                    <w:t>污染治理设施</w:t>
                  </w:r>
                </w:p>
              </w:tc>
              <w:tc>
                <w:tcPr>
                  <w:tcW w:w="926" w:type="dxa"/>
                  <w:vMerge w:val="restart"/>
                  <w:vAlign w:val="center"/>
                </w:tcPr>
                <w:p w14:paraId="2943427A">
                  <w:pPr>
                    <w:jc w:val="center"/>
                    <w:rPr>
                      <w:color w:val="auto"/>
                      <w:szCs w:val="21"/>
                    </w:rPr>
                  </w:pPr>
                  <w:r>
                    <w:rPr>
                      <w:color w:val="auto"/>
                      <w:szCs w:val="21"/>
                    </w:rPr>
                    <w:t>排放口编号</w:t>
                  </w:r>
                </w:p>
              </w:tc>
              <w:tc>
                <w:tcPr>
                  <w:tcW w:w="760" w:type="dxa"/>
                  <w:vMerge w:val="restart"/>
                  <w:vAlign w:val="center"/>
                </w:tcPr>
                <w:p w14:paraId="27CBBC3F">
                  <w:pPr>
                    <w:ind w:left="-166" w:leftChars="-79" w:right="-107" w:rightChars="-51"/>
                    <w:jc w:val="center"/>
                    <w:rPr>
                      <w:color w:val="auto"/>
                      <w:szCs w:val="21"/>
                    </w:rPr>
                  </w:pPr>
                  <w:r>
                    <w:rPr>
                      <w:color w:val="auto"/>
                      <w:szCs w:val="21"/>
                    </w:rPr>
                    <w:t>排放口设施是否符合要求</w:t>
                  </w:r>
                </w:p>
              </w:tc>
              <w:tc>
                <w:tcPr>
                  <w:tcW w:w="1746" w:type="dxa"/>
                  <w:vMerge w:val="restart"/>
                  <w:vAlign w:val="center"/>
                </w:tcPr>
                <w:p w14:paraId="6ECBBDF8">
                  <w:pPr>
                    <w:ind w:left="-107" w:leftChars="-51"/>
                    <w:jc w:val="center"/>
                    <w:rPr>
                      <w:color w:val="auto"/>
                      <w:szCs w:val="21"/>
                    </w:rPr>
                  </w:pPr>
                  <w:r>
                    <w:rPr>
                      <w:color w:val="auto"/>
                      <w:szCs w:val="21"/>
                    </w:rPr>
                    <w:t>排放口类型</w:t>
                  </w:r>
                </w:p>
              </w:tc>
            </w:tr>
            <w:tr w14:paraId="4DEE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dxa"/>
                  <w:vMerge w:val="continue"/>
                  <w:vAlign w:val="center"/>
                </w:tcPr>
                <w:p w14:paraId="06A9976F">
                  <w:pPr>
                    <w:widowControl/>
                    <w:jc w:val="left"/>
                    <w:rPr>
                      <w:color w:val="auto"/>
                      <w:szCs w:val="21"/>
                    </w:rPr>
                  </w:pPr>
                </w:p>
              </w:tc>
              <w:tc>
                <w:tcPr>
                  <w:tcW w:w="709" w:type="dxa"/>
                  <w:vMerge w:val="continue"/>
                  <w:vAlign w:val="center"/>
                </w:tcPr>
                <w:p w14:paraId="43BB8E8D">
                  <w:pPr>
                    <w:widowControl/>
                    <w:jc w:val="left"/>
                    <w:rPr>
                      <w:color w:val="auto"/>
                      <w:szCs w:val="21"/>
                    </w:rPr>
                  </w:pPr>
                </w:p>
              </w:tc>
              <w:tc>
                <w:tcPr>
                  <w:tcW w:w="767" w:type="dxa"/>
                  <w:vMerge w:val="continue"/>
                  <w:vAlign w:val="center"/>
                </w:tcPr>
                <w:p w14:paraId="678912B2">
                  <w:pPr>
                    <w:widowControl/>
                    <w:jc w:val="left"/>
                    <w:rPr>
                      <w:color w:val="auto"/>
                      <w:szCs w:val="21"/>
                    </w:rPr>
                  </w:pPr>
                </w:p>
              </w:tc>
              <w:tc>
                <w:tcPr>
                  <w:tcW w:w="680" w:type="dxa"/>
                  <w:vMerge w:val="continue"/>
                  <w:vAlign w:val="center"/>
                </w:tcPr>
                <w:p w14:paraId="2D7CA582">
                  <w:pPr>
                    <w:widowControl/>
                    <w:jc w:val="left"/>
                    <w:rPr>
                      <w:color w:val="auto"/>
                      <w:szCs w:val="21"/>
                    </w:rPr>
                  </w:pPr>
                </w:p>
              </w:tc>
              <w:tc>
                <w:tcPr>
                  <w:tcW w:w="1513" w:type="dxa"/>
                  <w:vMerge w:val="continue"/>
                  <w:vAlign w:val="center"/>
                </w:tcPr>
                <w:p w14:paraId="3E0A2498">
                  <w:pPr>
                    <w:widowControl/>
                    <w:jc w:val="left"/>
                    <w:rPr>
                      <w:color w:val="auto"/>
                      <w:szCs w:val="21"/>
                    </w:rPr>
                  </w:pPr>
                </w:p>
              </w:tc>
              <w:tc>
                <w:tcPr>
                  <w:tcW w:w="617" w:type="dxa"/>
                  <w:vAlign w:val="center"/>
                </w:tcPr>
                <w:p w14:paraId="52E646E2">
                  <w:pPr>
                    <w:ind w:left="-71" w:leftChars="-34" w:right="-57" w:rightChars="-27"/>
                    <w:jc w:val="center"/>
                    <w:rPr>
                      <w:color w:val="auto"/>
                      <w:szCs w:val="21"/>
                    </w:rPr>
                  </w:pPr>
                  <w:r>
                    <w:rPr>
                      <w:color w:val="auto"/>
                      <w:szCs w:val="21"/>
                    </w:rPr>
                    <w:t>污染治理设施编号</w:t>
                  </w:r>
                </w:p>
              </w:tc>
              <w:tc>
                <w:tcPr>
                  <w:tcW w:w="696" w:type="dxa"/>
                  <w:vAlign w:val="center"/>
                </w:tcPr>
                <w:p w14:paraId="27D840F8">
                  <w:pPr>
                    <w:jc w:val="center"/>
                    <w:rPr>
                      <w:color w:val="auto"/>
                      <w:szCs w:val="21"/>
                    </w:rPr>
                  </w:pPr>
                  <w:r>
                    <w:rPr>
                      <w:color w:val="auto"/>
                      <w:szCs w:val="21"/>
                    </w:rPr>
                    <w:t>污染治理设施名称</w:t>
                  </w:r>
                </w:p>
              </w:tc>
              <w:tc>
                <w:tcPr>
                  <w:tcW w:w="687" w:type="dxa"/>
                  <w:vAlign w:val="center"/>
                </w:tcPr>
                <w:p w14:paraId="218C88E6">
                  <w:pPr>
                    <w:jc w:val="center"/>
                    <w:rPr>
                      <w:color w:val="auto"/>
                      <w:szCs w:val="21"/>
                    </w:rPr>
                  </w:pPr>
                  <w:r>
                    <w:rPr>
                      <w:color w:val="auto"/>
                      <w:szCs w:val="21"/>
                    </w:rPr>
                    <w:t>污染治理设施工艺</w:t>
                  </w:r>
                </w:p>
              </w:tc>
              <w:tc>
                <w:tcPr>
                  <w:tcW w:w="926" w:type="dxa"/>
                  <w:vMerge w:val="continue"/>
                  <w:vAlign w:val="center"/>
                </w:tcPr>
                <w:p w14:paraId="112196AF">
                  <w:pPr>
                    <w:widowControl/>
                    <w:jc w:val="left"/>
                    <w:rPr>
                      <w:color w:val="auto"/>
                      <w:szCs w:val="21"/>
                    </w:rPr>
                  </w:pPr>
                </w:p>
              </w:tc>
              <w:tc>
                <w:tcPr>
                  <w:tcW w:w="760" w:type="dxa"/>
                  <w:vMerge w:val="continue"/>
                  <w:vAlign w:val="center"/>
                </w:tcPr>
                <w:p w14:paraId="0181F31D">
                  <w:pPr>
                    <w:widowControl/>
                    <w:jc w:val="left"/>
                    <w:rPr>
                      <w:color w:val="auto"/>
                      <w:szCs w:val="21"/>
                    </w:rPr>
                  </w:pPr>
                </w:p>
              </w:tc>
              <w:tc>
                <w:tcPr>
                  <w:tcW w:w="1746" w:type="dxa"/>
                  <w:vMerge w:val="continue"/>
                  <w:vAlign w:val="center"/>
                </w:tcPr>
                <w:p w14:paraId="7A198EC5">
                  <w:pPr>
                    <w:widowControl/>
                    <w:jc w:val="left"/>
                    <w:rPr>
                      <w:color w:val="auto"/>
                      <w:szCs w:val="21"/>
                    </w:rPr>
                  </w:pPr>
                </w:p>
              </w:tc>
            </w:tr>
            <w:tr w14:paraId="1185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dxa"/>
                  <w:vAlign w:val="center"/>
                </w:tcPr>
                <w:p w14:paraId="0435A792">
                  <w:pPr>
                    <w:ind w:left="-72"/>
                    <w:jc w:val="center"/>
                    <w:rPr>
                      <w:color w:val="auto"/>
                      <w:szCs w:val="21"/>
                    </w:rPr>
                  </w:pPr>
                  <w:r>
                    <w:rPr>
                      <w:color w:val="auto"/>
                      <w:szCs w:val="21"/>
                    </w:rPr>
                    <w:t>1</w:t>
                  </w:r>
                </w:p>
              </w:tc>
              <w:tc>
                <w:tcPr>
                  <w:tcW w:w="709" w:type="dxa"/>
                  <w:vAlign w:val="center"/>
                </w:tcPr>
                <w:p w14:paraId="70F5667E">
                  <w:pPr>
                    <w:jc w:val="center"/>
                    <w:rPr>
                      <w:color w:val="auto"/>
                      <w:szCs w:val="21"/>
                    </w:rPr>
                  </w:pPr>
                  <w:r>
                    <w:rPr>
                      <w:color w:val="auto"/>
                      <w:szCs w:val="21"/>
                    </w:rPr>
                    <w:t>生活污水</w:t>
                  </w:r>
                </w:p>
                <w:p w14:paraId="3A69535D">
                  <w:pPr>
                    <w:jc w:val="center"/>
                    <w:rPr>
                      <w:color w:val="auto"/>
                    </w:rPr>
                  </w:pPr>
                </w:p>
              </w:tc>
              <w:tc>
                <w:tcPr>
                  <w:tcW w:w="767" w:type="dxa"/>
                  <w:vAlign w:val="center"/>
                </w:tcPr>
                <w:p w14:paraId="6E10D204">
                  <w:pPr>
                    <w:kinsoku w:val="0"/>
                    <w:overflowPunct w:val="0"/>
                    <w:autoSpaceDE w:val="0"/>
                    <w:autoSpaceDN w:val="0"/>
                    <w:adjustRightInd w:val="0"/>
                    <w:snapToGrid w:val="0"/>
                    <w:jc w:val="center"/>
                    <w:rPr>
                      <w:snapToGrid w:val="0"/>
                      <w:color w:val="auto"/>
                      <w:kern w:val="0"/>
                    </w:rPr>
                  </w:pPr>
                  <w:r>
                    <w:rPr>
                      <w:snapToGrid w:val="0"/>
                      <w:color w:val="auto"/>
                      <w:kern w:val="0"/>
                    </w:rPr>
                    <w:t>COD</w:t>
                  </w:r>
                </w:p>
                <w:p w14:paraId="0A32F3A0">
                  <w:pPr>
                    <w:kinsoku w:val="0"/>
                    <w:overflowPunct w:val="0"/>
                    <w:autoSpaceDE w:val="0"/>
                    <w:autoSpaceDN w:val="0"/>
                    <w:adjustRightInd w:val="0"/>
                    <w:snapToGrid w:val="0"/>
                    <w:jc w:val="center"/>
                    <w:rPr>
                      <w:rFonts w:eastAsia="Times New Roman"/>
                      <w:snapToGrid w:val="0"/>
                      <w:color w:val="auto"/>
                      <w:kern w:val="0"/>
                      <w:lang w:eastAsia="zh-Hans"/>
                    </w:rPr>
                  </w:pPr>
                  <w:r>
                    <w:rPr>
                      <w:snapToGrid w:val="0"/>
                      <w:color w:val="auto"/>
                      <w:kern w:val="0"/>
                      <w:lang w:eastAsia="zh-Hans"/>
                    </w:rPr>
                    <w:t>BOD</w:t>
                  </w:r>
                  <w:r>
                    <w:rPr>
                      <w:snapToGrid w:val="0"/>
                      <w:color w:val="auto"/>
                      <w:kern w:val="0"/>
                      <w:vertAlign w:val="subscript"/>
                      <w:lang w:eastAsia="zh-Hans"/>
                    </w:rPr>
                    <w:t>5</w:t>
                  </w:r>
                </w:p>
                <w:p w14:paraId="0E07024F">
                  <w:pPr>
                    <w:kinsoku w:val="0"/>
                    <w:overflowPunct w:val="0"/>
                    <w:autoSpaceDE w:val="0"/>
                    <w:autoSpaceDN w:val="0"/>
                    <w:adjustRightInd w:val="0"/>
                    <w:snapToGrid w:val="0"/>
                    <w:jc w:val="center"/>
                    <w:rPr>
                      <w:snapToGrid w:val="0"/>
                      <w:color w:val="auto"/>
                      <w:kern w:val="0"/>
                    </w:rPr>
                  </w:pPr>
                  <w:r>
                    <w:rPr>
                      <w:snapToGrid w:val="0"/>
                      <w:color w:val="auto"/>
                      <w:kern w:val="0"/>
                    </w:rPr>
                    <w:t>SS</w:t>
                  </w:r>
                </w:p>
                <w:p w14:paraId="528E1DE7">
                  <w:pPr>
                    <w:kinsoku w:val="0"/>
                    <w:overflowPunct w:val="0"/>
                    <w:autoSpaceDE w:val="0"/>
                    <w:autoSpaceDN w:val="0"/>
                    <w:adjustRightInd w:val="0"/>
                    <w:snapToGrid w:val="0"/>
                    <w:jc w:val="center"/>
                    <w:rPr>
                      <w:snapToGrid w:val="0"/>
                      <w:color w:val="auto"/>
                      <w:kern w:val="0"/>
                    </w:rPr>
                  </w:pPr>
                  <w:r>
                    <w:rPr>
                      <w:rFonts w:hint="eastAsia"/>
                      <w:snapToGrid w:val="0"/>
                      <w:color w:val="auto"/>
                      <w:kern w:val="0"/>
                    </w:rPr>
                    <w:t>氨氮</w:t>
                  </w:r>
                </w:p>
                <w:p w14:paraId="648F4A05">
                  <w:pPr>
                    <w:kinsoku w:val="0"/>
                    <w:overflowPunct w:val="0"/>
                    <w:autoSpaceDE w:val="0"/>
                    <w:autoSpaceDN w:val="0"/>
                    <w:adjustRightInd w:val="0"/>
                    <w:snapToGrid w:val="0"/>
                    <w:jc w:val="center"/>
                    <w:rPr>
                      <w:color w:val="auto"/>
                    </w:rPr>
                  </w:pPr>
                </w:p>
              </w:tc>
              <w:tc>
                <w:tcPr>
                  <w:tcW w:w="680" w:type="dxa"/>
                  <w:vAlign w:val="center"/>
                </w:tcPr>
                <w:p w14:paraId="0C19B238">
                  <w:pPr>
                    <w:widowControl/>
                    <w:jc w:val="center"/>
                    <w:rPr>
                      <w:bCs/>
                      <w:color w:val="auto"/>
                      <w:szCs w:val="21"/>
                    </w:rPr>
                  </w:pPr>
                  <w:r>
                    <w:rPr>
                      <w:color w:val="auto"/>
                      <w:szCs w:val="21"/>
                    </w:rPr>
                    <w:t>进入城镇污水处理</w:t>
                  </w:r>
                  <w:r>
                    <w:rPr>
                      <w:rFonts w:hint="eastAsia"/>
                      <w:snapToGrid w:val="0"/>
                      <w:color w:val="auto"/>
                      <w:kern w:val="0"/>
                      <w:szCs w:val="21"/>
                    </w:rPr>
                    <w:t>厂</w:t>
                  </w:r>
                </w:p>
              </w:tc>
              <w:tc>
                <w:tcPr>
                  <w:tcW w:w="1513" w:type="dxa"/>
                  <w:vAlign w:val="center"/>
                </w:tcPr>
                <w:p w14:paraId="250950CF">
                  <w:pPr>
                    <w:widowControl/>
                    <w:ind w:left="-152" w:leftChars="-73" w:right="-143" w:rightChars="-68" w:hanging="1"/>
                    <w:jc w:val="center"/>
                    <w:rPr>
                      <w:color w:val="auto"/>
                      <w:szCs w:val="21"/>
                    </w:rPr>
                  </w:pPr>
                  <w:r>
                    <w:rPr>
                      <w:color w:val="auto"/>
                      <w:szCs w:val="21"/>
                    </w:rPr>
                    <w:t>间断排放，排放期间流量不稳定且无规律，但不属于冲击型排放</w:t>
                  </w:r>
                </w:p>
              </w:tc>
              <w:tc>
                <w:tcPr>
                  <w:tcW w:w="617" w:type="dxa"/>
                  <w:vAlign w:val="center"/>
                </w:tcPr>
                <w:p w14:paraId="454F5728">
                  <w:pPr>
                    <w:ind w:left="-214" w:leftChars="-102" w:right="-199" w:rightChars="-95"/>
                    <w:jc w:val="center"/>
                    <w:rPr>
                      <w:color w:val="auto"/>
                      <w:szCs w:val="21"/>
                    </w:rPr>
                  </w:pPr>
                  <w:r>
                    <w:rPr>
                      <w:color w:val="auto"/>
                      <w:szCs w:val="21"/>
                    </w:rPr>
                    <w:t>TW001</w:t>
                  </w:r>
                </w:p>
              </w:tc>
              <w:tc>
                <w:tcPr>
                  <w:tcW w:w="696" w:type="dxa"/>
                  <w:vAlign w:val="center"/>
                </w:tcPr>
                <w:p w14:paraId="5CF2121B">
                  <w:pPr>
                    <w:ind w:left="-62" w:leftChars="-30" w:right="-456" w:rightChars="-217" w:hanging="1"/>
                    <w:rPr>
                      <w:color w:val="auto"/>
                    </w:rPr>
                  </w:pPr>
                  <w:r>
                    <w:rPr>
                      <w:color w:val="auto"/>
                      <w:szCs w:val="21"/>
                    </w:rPr>
                    <w:t>化粪池</w:t>
                  </w:r>
                </w:p>
              </w:tc>
              <w:tc>
                <w:tcPr>
                  <w:tcW w:w="687" w:type="dxa"/>
                  <w:vAlign w:val="center"/>
                </w:tcPr>
                <w:p w14:paraId="3E6AA017">
                  <w:pPr>
                    <w:jc w:val="center"/>
                    <w:rPr>
                      <w:rFonts w:hint="eastAsia" w:eastAsia="宋体"/>
                      <w:color w:val="auto"/>
                      <w:szCs w:val="21"/>
                      <w:lang w:eastAsia="zh-CN"/>
                    </w:rPr>
                  </w:pPr>
                  <w:r>
                    <w:rPr>
                      <w:rFonts w:hint="eastAsia"/>
                      <w:color w:val="auto"/>
                      <w:szCs w:val="21"/>
                      <w:lang w:val="en-US" w:eastAsia="zh-CN"/>
                    </w:rPr>
                    <w:t>化粪池</w:t>
                  </w:r>
                </w:p>
              </w:tc>
              <w:tc>
                <w:tcPr>
                  <w:tcW w:w="926" w:type="dxa"/>
                  <w:vAlign w:val="center"/>
                </w:tcPr>
                <w:p w14:paraId="4F8E9EB2">
                  <w:pPr>
                    <w:widowControl/>
                    <w:rPr>
                      <w:color w:val="auto"/>
                      <w:szCs w:val="21"/>
                    </w:rPr>
                  </w:pPr>
                  <w:r>
                    <w:rPr>
                      <w:color w:val="auto"/>
                      <w:szCs w:val="21"/>
                    </w:rPr>
                    <w:t>DW001</w:t>
                  </w:r>
                </w:p>
              </w:tc>
              <w:tc>
                <w:tcPr>
                  <w:tcW w:w="760" w:type="dxa"/>
                  <w:vAlign w:val="center"/>
                </w:tcPr>
                <w:p w14:paraId="64609FCD">
                  <w:pPr>
                    <w:widowControl/>
                    <w:jc w:val="center"/>
                    <w:rPr>
                      <w:color w:val="auto"/>
                      <w:szCs w:val="21"/>
                    </w:rPr>
                  </w:pPr>
                  <w:r>
                    <w:rPr>
                      <w:color w:val="auto"/>
                      <w:szCs w:val="21"/>
                    </w:rPr>
                    <w:t>是</w:t>
                  </w:r>
                </w:p>
              </w:tc>
              <w:tc>
                <w:tcPr>
                  <w:tcW w:w="1746" w:type="dxa"/>
                  <w:vAlign w:val="center"/>
                </w:tcPr>
                <w:p w14:paraId="10ED4E93">
                  <w:pPr>
                    <w:widowControl/>
                    <w:ind w:left="-46" w:leftChars="-22" w:right="-204" w:rightChars="-97"/>
                    <w:rPr>
                      <w:color w:val="auto"/>
                      <w:szCs w:val="21"/>
                    </w:rPr>
                  </w:pPr>
                  <w:r>
                    <w:rPr>
                      <w:color w:val="auto"/>
                      <w:szCs w:val="21"/>
                    </w:rPr>
                    <w:t>■企业总排</w:t>
                  </w:r>
                </w:p>
                <w:p w14:paraId="5149D264">
                  <w:pPr>
                    <w:widowControl/>
                    <w:ind w:left="-46" w:leftChars="-22" w:right="-204" w:rightChars="-97"/>
                    <w:rPr>
                      <w:color w:val="auto"/>
                      <w:szCs w:val="21"/>
                    </w:rPr>
                  </w:pPr>
                  <w:r>
                    <w:rPr>
                      <w:color w:val="auto"/>
                      <w:szCs w:val="21"/>
                    </w:rPr>
                    <w:t>口雨水排放</w:t>
                  </w:r>
                </w:p>
                <w:p w14:paraId="6970EF05">
                  <w:pPr>
                    <w:widowControl/>
                    <w:ind w:left="-46" w:leftChars="-22" w:right="-204" w:rightChars="-97"/>
                    <w:rPr>
                      <w:color w:val="auto"/>
                      <w:szCs w:val="21"/>
                    </w:rPr>
                  </w:pPr>
                  <w:r>
                    <w:rPr>
                      <w:color w:val="auto"/>
                      <w:szCs w:val="21"/>
                    </w:rPr>
                    <w:t>口清静下水排放</w:t>
                  </w:r>
                </w:p>
                <w:p w14:paraId="3D63E06B">
                  <w:pPr>
                    <w:widowControl/>
                    <w:ind w:left="-46" w:leftChars="-22" w:right="-204" w:rightChars="-97"/>
                    <w:rPr>
                      <w:color w:val="auto"/>
                      <w:szCs w:val="21"/>
                    </w:rPr>
                  </w:pPr>
                  <w:r>
                    <w:rPr>
                      <w:color w:val="auto"/>
                      <w:szCs w:val="21"/>
                    </w:rPr>
                    <w:t>口温排水排放</w:t>
                  </w:r>
                </w:p>
                <w:p w14:paraId="3D47622F">
                  <w:pPr>
                    <w:widowControl/>
                    <w:ind w:left="-46" w:leftChars="-22" w:right="-63" w:rightChars="-30"/>
                    <w:rPr>
                      <w:color w:val="auto"/>
                      <w:szCs w:val="21"/>
                    </w:rPr>
                  </w:pPr>
                  <w:r>
                    <w:rPr>
                      <w:color w:val="auto"/>
                      <w:szCs w:val="21"/>
                    </w:rPr>
                    <w:t>口车间或车间处理设施排放口</w:t>
                  </w:r>
                </w:p>
              </w:tc>
            </w:tr>
          </w:tbl>
          <w:p w14:paraId="58CA21EB">
            <w:pPr>
              <w:spacing w:line="400" w:lineRule="atLeast"/>
              <w:jc w:val="center"/>
              <w:rPr>
                <w:b/>
                <w:color w:val="auto"/>
                <w:sz w:val="24"/>
              </w:rPr>
            </w:pPr>
          </w:p>
          <w:p w14:paraId="63CDD8E1">
            <w:pPr>
              <w:spacing w:line="400" w:lineRule="atLeast"/>
              <w:jc w:val="center"/>
              <w:rPr>
                <w:b/>
                <w:color w:val="auto"/>
                <w:sz w:val="24"/>
              </w:rPr>
            </w:pPr>
            <w:r>
              <w:rPr>
                <w:b/>
                <w:color w:val="auto"/>
                <w:sz w:val="24"/>
              </w:rPr>
              <w:t>表4-12  废水间接排放口基本情况表</w:t>
            </w:r>
          </w:p>
          <w:tbl>
            <w:tblPr>
              <w:tblStyle w:val="26"/>
              <w:tblW w:w="5000" w:type="pct"/>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07"/>
              <w:gridCol w:w="1416"/>
              <w:gridCol w:w="1295"/>
              <w:gridCol w:w="686"/>
              <w:gridCol w:w="544"/>
              <w:gridCol w:w="1080"/>
              <w:gridCol w:w="673"/>
              <w:gridCol w:w="540"/>
              <w:gridCol w:w="953"/>
              <w:gridCol w:w="1133"/>
            </w:tblGrid>
            <w:tr w14:paraId="26D1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restart"/>
                  <w:vAlign w:val="center"/>
                </w:tcPr>
                <w:p w14:paraId="12E48F70">
                  <w:pPr>
                    <w:jc w:val="center"/>
                    <w:rPr>
                      <w:color w:val="auto"/>
                      <w:szCs w:val="21"/>
                    </w:rPr>
                  </w:pPr>
                  <w:r>
                    <w:rPr>
                      <w:color w:val="auto"/>
                      <w:szCs w:val="21"/>
                    </w:rPr>
                    <w:t>序号</w:t>
                  </w:r>
                </w:p>
              </w:tc>
              <w:tc>
                <w:tcPr>
                  <w:tcW w:w="373" w:type="pct"/>
                  <w:vMerge w:val="restart"/>
                  <w:vAlign w:val="center"/>
                </w:tcPr>
                <w:p w14:paraId="38A39385">
                  <w:pPr>
                    <w:ind w:left="-153" w:leftChars="-73" w:right="-185" w:rightChars="-88"/>
                    <w:jc w:val="center"/>
                    <w:rPr>
                      <w:color w:val="auto"/>
                      <w:szCs w:val="21"/>
                    </w:rPr>
                  </w:pPr>
                  <w:r>
                    <w:rPr>
                      <w:color w:val="auto"/>
                      <w:szCs w:val="21"/>
                    </w:rPr>
                    <w:t>排放口</w:t>
                  </w:r>
                </w:p>
                <w:p w14:paraId="2D1C93CB">
                  <w:pPr>
                    <w:ind w:left="-153" w:leftChars="-73" w:right="-185" w:rightChars="-88"/>
                    <w:jc w:val="center"/>
                    <w:rPr>
                      <w:color w:val="auto"/>
                      <w:szCs w:val="21"/>
                    </w:rPr>
                  </w:pPr>
                  <w:r>
                    <w:rPr>
                      <w:color w:val="auto"/>
                      <w:szCs w:val="21"/>
                    </w:rPr>
                    <w:t>编号</w:t>
                  </w:r>
                </w:p>
              </w:tc>
              <w:tc>
                <w:tcPr>
                  <w:tcW w:w="1430" w:type="pct"/>
                  <w:gridSpan w:val="2"/>
                  <w:vAlign w:val="center"/>
                </w:tcPr>
                <w:p w14:paraId="146F540C">
                  <w:pPr>
                    <w:jc w:val="center"/>
                    <w:rPr>
                      <w:color w:val="auto"/>
                      <w:szCs w:val="21"/>
                    </w:rPr>
                  </w:pPr>
                  <w:r>
                    <w:rPr>
                      <w:color w:val="auto"/>
                      <w:szCs w:val="21"/>
                    </w:rPr>
                    <w:t>排放口地理坐标</w:t>
                  </w:r>
                </w:p>
              </w:tc>
              <w:tc>
                <w:tcPr>
                  <w:tcW w:w="362" w:type="pct"/>
                  <w:vMerge w:val="restart"/>
                  <w:vAlign w:val="center"/>
                </w:tcPr>
                <w:p w14:paraId="6D8BD411">
                  <w:pPr>
                    <w:ind w:left="-106" w:leftChars="-51" w:right="-107" w:rightChars="-51" w:hanging="1"/>
                    <w:jc w:val="center"/>
                    <w:rPr>
                      <w:color w:val="auto"/>
                      <w:szCs w:val="21"/>
                    </w:rPr>
                  </w:pPr>
                  <w:r>
                    <w:rPr>
                      <w:color w:val="auto"/>
                      <w:szCs w:val="21"/>
                    </w:rPr>
                    <w:t>废水排放量</w:t>
                  </w:r>
                  <w:r>
                    <w:rPr>
                      <w:color w:val="auto"/>
                      <w:spacing w:val="-20"/>
                      <w:szCs w:val="21"/>
                    </w:rPr>
                    <w:t>（t/a）</w:t>
                  </w:r>
                </w:p>
              </w:tc>
              <w:tc>
                <w:tcPr>
                  <w:tcW w:w="287" w:type="pct"/>
                  <w:vMerge w:val="restart"/>
                  <w:vAlign w:val="center"/>
                </w:tcPr>
                <w:p w14:paraId="080A7906">
                  <w:pPr>
                    <w:jc w:val="center"/>
                    <w:rPr>
                      <w:color w:val="auto"/>
                      <w:szCs w:val="21"/>
                    </w:rPr>
                  </w:pPr>
                  <w:r>
                    <w:rPr>
                      <w:color w:val="auto"/>
                      <w:szCs w:val="21"/>
                    </w:rPr>
                    <w:t>排放</w:t>
                  </w:r>
                </w:p>
                <w:p w14:paraId="60DC8A75">
                  <w:pPr>
                    <w:jc w:val="center"/>
                    <w:rPr>
                      <w:color w:val="auto"/>
                      <w:szCs w:val="21"/>
                    </w:rPr>
                  </w:pPr>
                  <w:r>
                    <w:rPr>
                      <w:color w:val="auto"/>
                      <w:szCs w:val="21"/>
                    </w:rPr>
                    <w:t>去向</w:t>
                  </w:r>
                </w:p>
              </w:tc>
              <w:tc>
                <w:tcPr>
                  <w:tcW w:w="570" w:type="pct"/>
                  <w:vMerge w:val="restart"/>
                  <w:vAlign w:val="center"/>
                </w:tcPr>
                <w:p w14:paraId="3AC1255A">
                  <w:pPr>
                    <w:jc w:val="center"/>
                    <w:rPr>
                      <w:color w:val="auto"/>
                      <w:szCs w:val="21"/>
                    </w:rPr>
                  </w:pPr>
                  <w:r>
                    <w:rPr>
                      <w:color w:val="auto"/>
                      <w:szCs w:val="21"/>
                    </w:rPr>
                    <w:t>排放</w:t>
                  </w:r>
                </w:p>
                <w:p w14:paraId="08C60911">
                  <w:pPr>
                    <w:jc w:val="center"/>
                    <w:rPr>
                      <w:color w:val="auto"/>
                      <w:szCs w:val="21"/>
                    </w:rPr>
                  </w:pPr>
                  <w:r>
                    <w:rPr>
                      <w:color w:val="auto"/>
                      <w:szCs w:val="21"/>
                    </w:rPr>
                    <w:t>规律</w:t>
                  </w:r>
                </w:p>
              </w:tc>
              <w:tc>
                <w:tcPr>
                  <w:tcW w:w="355" w:type="pct"/>
                  <w:vMerge w:val="restart"/>
                  <w:vAlign w:val="center"/>
                </w:tcPr>
                <w:p w14:paraId="06632578">
                  <w:pPr>
                    <w:ind w:left="-106" w:leftChars="-51" w:right="-107" w:rightChars="-51" w:hanging="1"/>
                    <w:jc w:val="center"/>
                    <w:rPr>
                      <w:color w:val="auto"/>
                      <w:szCs w:val="21"/>
                    </w:rPr>
                  </w:pPr>
                  <w:r>
                    <w:rPr>
                      <w:color w:val="auto"/>
                      <w:szCs w:val="21"/>
                    </w:rPr>
                    <w:t>间歇排放时段</w:t>
                  </w:r>
                </w:p>
              </w:tc>
              <w:tc>
                <w:tcPr>
                  <w:tcW w:w="1386" w:type="pct"/>
                  <w:gridSpan w:val="3"/>
                  <w:vAlign w:val="center"/>
                </w:tcPr>
                <w:p w14:paraId="5FB5A3E0">
                  <w:pPr>
                    <w:jc w:val="center"/>
                    <w:rPr>
                      <w:color w:val="auto"/>
                      <w:szCs w:val="21"/>
                    </w:rPr>
                  </w:pPr>
                  <w:r>
                    <w:rPr>
                      <w:color w:val="auto"/>
                      <w:szCs w:val="21"/>
                    </w:rPr>
                    <w:t>收纳污水处理厂信息</w:t>
                  </w:r>
                </w:p>
              </w:tc>
            </w:tr>
            <w:tr w14:paraId="2219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continue"/>
                  <w:vAlign w:val="center"/>
                </w:tcPr>
                <w:p w14:paraId="2436B245">
                  <w:pPr>
                    <w:widowControl/>
                    <w:jc w:val="left"/>
                    <w:rPr>
                      <w:color w:val="auto"/>
                      <w:szCs w:val="21"/>
                    </w:rPr>
                  </w:pPr>
                </w:p>
              </w:tc>
              <w:tc>
                <w:tcPr>
                  <w:tcW w:w="373" w:type="pct"/>
                  <w:vMerge w:val="continue"/>
                  <w:vAlign w:val="center"/>
                </w:tcPr>
                <w:p w14:paraId="079A31B5">
                  <w:pPr>
                    <w:widowControl/>
                    <w:jc w:val="left"/>
                    <w:rPr>
                      <w:color w:val="auto"/>
                      <w:szCs w:val="21"/>
                    </w:rPr>
                  </w:pPr>
                </w:p>
              </w:tc>
              <w:tc>
                <w:tcPr>
                  <w:tcW w:w="747" w:type="pct"/>
                  <w:vAlign w:val="center"/>
                </w:tcPr>
                <w:p w14:paraId="1658C025">
                  <w:pPr>
                    <w:ind w:left="-151" w:leftChars="-73" w:hanging="2"/>
                    <w:jc w:val="center"/>
                    <w:rPr>
                      <w:color w:val="auto"/>
                      <w:szCs w:val="21"/>
                    </w:rPr>
                  </w:pPr>
                  <w:r>
                    <w:rPr>
                      <w:color w:val="auto"/>
                      <w:szCs w:val="21"/>
                    </w:rPr>
                    <w:t>经度E°</w:t>
                  </w:r>
                </w:p>
              </w:tc>
              <w:tc>
                <w:tcPr>
                  <w:tcW w:w="682" w:type="pct"/>
                  <w:vAlign w:val="center"/>
                </w:tcPr>
                <w:p w14:paraId="6003BA0F">
                  <w:pPr>
                    <w:jc w:val="center"/>
                    <w:rPr>
                      <w:color w:val="auto"/>
                      <w:spacing w:val="-20"/>
                      <w:szCs w:val="21"/>
                    </w:rPr>
                  </w:pPr>
                  <w:r>
                    <w:rPr>
                      <w:color w:val="auto"/>
                      <w:szCs w:val="21"/>
                    </w:rPr>
                    <w:t>纬度</w:t>
                  </w:r>
                  <w:r>
                    <w:rPr>
                      <w:color w:val="auto"/>
                      <w:spacing w:val="-20"/>
                      <w:szCs w:val="21"/>
                    </w:rPr>
                    <w:t>N°</w:t>
                  </w:r>
                </w:p>
              </w:tc>
              <w:tc>
                <w:tcPr>
                  <w:tcW w:w="362" w:type="pct"/>
                  <w:vMerge w:val="continue"/>
                  <w:vAlign w:val="center"/>
                </w:tcPr>
                <w:p w14:paraId="45A4A454">
                  <w:pPr>
                    <w:widowControl/>
                    <w:jc w:val="left"/>
                    <w:rPr>
                      <w:color w:val="auto"/>
                      <w:szCs w:val="21"/>
                    </w:rPr>
                  </w:pPr>
                </w:p>
              </w:tc>
              <w:tc>
                <w:tcPr>
                  <w:tcW w:w="287" w:type="pct"/>
                  <w:vMerge w:val="continue"/>
                  <w:vAlign w:val="center"/>
                </w:tcPr>
                <w:p w14:paraId="724240E8">
                  <w:pPr>
                    <w:widowControl/>
                    <w:jc w:val="left"/>
                    <w:rPr>
                      <w:color w:val="auto"/>
                      <w:szCs w:val="21"/>
                    </w:rPr>
                  </w:pPr>
                </w:p>
              </w:tc>
              <w:tc>
                <w:tcPr>
                  <w:tcW w:w="570" w:type="pct"/>
                  <w:vMerge w:val="continue"/>
                  <w:vAlign w:val="center"/>
                </w:tcPr>
                <w:p w14:paraId="5BDE6079">
                  <w:pPr>
                    <w:widowControl/>
                    <w:jc w:val="left"/>
                    <w:rPr>
                      <w:color w:val="auto"/>
                      <w:szCs w:val="21"/>
                    </w:rPr>
                  </w:pPr>
                </w:p>
              </w:tc>
              <w:tc>
                <w:tcPr>
                  <w:tcW w:w="355" w:type="pct"/>
                  <w:vMerge w:val="continue"/>
                  <w:vAlign w:val="center"/>
                </w:tcPr>
                <w:p w14:paraId="14FABB08">
                  <w:pPr>
                    <w:widowControl/>
                    <w:jc w:val="left"/>
                    <w:rPr>
                      <w:color w:val="auto"/>
                      <w:szCs w:val="21"/>
                    </w:rPr>
                  </w:pPr>
                </w:p>
              </w:tc>
              <w:tc>
                <w:tcPr>
                  <w:tcW w:w="285" w:type="pct"/>
                  <w:vAlign w:val="center"/>
                </w:tcPr>
                <w:p w14:paraId="05641E50">
                  <w:pPr>
                    <w:ind w:left="-107" w:leftChars="-51" w:right="-162" w:rightChars="-77"/>
                    <w:jc w:val="center"/>
                    <w:rPr>
                      <w:color w:val="auto"/>
                      <w:szCs w:val="21"/>
                    </w:rPr>
                  </w:pPr>
                  <w:r>
                    <w:rPr>
                      <w:color w:val="auto"/>
                      <w:szCs w:val="21"/>
                    </w:rPr>
                    <w:t>名称</w:t>
                  </w:r>
                </w:p>
              </w:tc>
              <w:tc>
                <w:tcPr>
                  <w:tcW w:w="503" w:type="pct"/>
                  <w:vAlign w:val="center"/>
                </w:tcPr>
                <w:p w14:paraId="2365EE0B">
                  <w:pPr>
                    <w:ind w:left="-107" w:leftChars="-51" w:right="-76" w:rightChars="-36"/>
                    <w:jc w:val="center"/>
                    <w:rPr>
                      <w:color w:val="auto"/>
                      <w:szCs w:val="21"/>
                    </w:rPr>
                  </w:pPr>
                  <w:r>
                    <w:rPr>
                      <w:color w:val="auto"/>
                      <w:szCs w:val="21"/>
                    </w:rPr>
                    <w:t>污染物</w:t>
                  </w:r>
                </w:p>
                <w:p w14:paraId="25CEBA4F">
                  <w:pPr>
                    <w:ind w:left="-107" w:leftChars="-51" w:right="-76" w:rightChars="-36"/>
                    <w:jc w:val="center"/>
                    <w:rPr>
                      <w:color w:val="auto"/>
                      <w:szCs w:val="21"/>
                    </w:rPr>
                  </w:pPr>
                  <w:r>
                    <w:rPr>
                      <w:color w:val="auto"/>
                      <w:szCs w:val="21"/>
                    </w:rPr>
                    <w:t>种类</w:t>
                  </w:r>
                </w:p>
              </w:tc>
              <w:tc>
                <w:tcPr>
                  <w:tcW w:w="598" w:type="pct"/>
                  <w:vAlign w:val="center"/>
                </w:tcPr>
                <w:p w14:paraId="60CDFC74">
                  <w:pPr>
                    <w:ind w:left="-107" w:leftChars="-51" w:right="-63" w:rightChars="-30"/>
                    <w:jc w:val="center"/>
                    <w:rPr>
                      <w:color w:val="auto"/>
                      <w:szCs w:val="21"/>
                    </w:rPr>
                  </w:pPr>
                  <w:r>
                    <w:rPr>
                      <w:color w:val="auto"/>
                      <w:szCs w:val="21"/>
                    </w:rPr>
                    <w:t>国家或地方污染物排放标准限值（mg/L）</w:t>
                  </w:r>
                </w:p>
              </w:tc>
            </w:tr>
            <w:tr w14:paraId="77DF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restart"/>
                  <w:vAlign w:val="center"/>
                </w:tcPr>
                <w:p w14:paraId="77E16579">
                  <w:pPr>
                    <w:jc w:val="center"/>
                    <w:rPr>
                      <w:color w:val="auto"/>
                      <w:szCs w:val="21"/>
                    </w:rPr>
                  </w:pPr>
                  <w:r>
                    <w:rPr>
                      <w:color w:val="auto"/>
                      <w:szCs w:val="21"/>
                    </w:rPr>
                    <w:t>1</w:t>
                  </w:r>
                </w:p>
              </w:tc>
              <w:tc>
                <w:tcPr>
                  <w:tcW w:w="373" w:type="pct"/>
                  <w:vMerge w:val="restart"/>
                  <w:vAlign w:val="center"/>
                </w:tcPr>
                <w:p w14:paraId="086BF435">
                  <w:pPr>
                    <w:ind w:left="-155" w:leftChars="-74" w:right="-126" w:rightChars="-60"/>
                    <w:jc w:val="center"/>
                    <w:rPr>
                      <w:color w:val="auto"/>
                      <w:szCs w:val="21"/>
                    </w:rPr>
                  </w:pPr>
                  <w:r>
                    <w:rPr>
                      <w:color w:val="auto"/>
                      <w:szCs w:val="21"/>
                    </w:rPr>
                    <w:t>DW001</w:t>
                  </w:r>
                </w:p>
              </w:tc>
              <w:tc>
                <w:tcPr>
                  <w:tcW w:w="747" w:type="pct"/>
                  <w:vMerge w:val="restart"/>
                  <w:vAlign w:val="center"/>
                </w:tcPr>
                <w:p w14:paraId="66F266C0">
                  <w:pPr>
                    <w:rPr>
                      <w:color w:val="auto"/>
                    </w:rPr>
                  </w:pPr>
                  <w:r>
                    <w:rPr>
                      <w:color w:val="auto"/>
                    </w:rPr>
                    <w:t>117.48910725</w:t>
                  </w:r>
                </w:p>
              </w:tc>
              <w:tc>
                <w:tcPr>
                  <w:tcW w:w="682" w:type="pct"/>
                  <w:vMerge w:val="restart"/>
                  <w:vAlign w:val="center"/>
                </w:tcPr>
                <w:p w14:paraId="60D8A32A">
                  <w:pPr>
                    <w:ind w:left="-107" w:leftChars="-51" w:right="-105" w:rightChars="-50"/>
                    <w:jc w:val="center"/>
                    <w:rPr>
                      <w:color w:val="auto"/>
                      <w:szCs w:val="21"/>
                    </w:rPr>
                  </w:pPr>
                  <w:r>
                    <w:rPr>
                      <w:color w:val="auto"/>
                      <w:szCs w:val="21"/>
                    </w:rPr>
                    <w:t>32.92142808</w:t>
                  </w:r>
                </w:p>
              </w:tc>
              <w:tc>
                <w:tcPr>
                  <w:tcW w:w="362" w:type="pct"/>
                  <w:vMerge w:val="restart"/>
                  <w:vAlign w:val="center"/>
                </w:tcPr>
                <w:p w14:paraId="18C107BE">
                  <w:pPr>
                    <w:widowControl/>
                    <w:ind w:left="-107" w:leftChars="-51" w:right="-105" w:rightChars="-50"/>
                    <w:jc w:val="center"/>
                    <w:rPr>
                      <w:color w:val="auto"/>
                      <w:szCs w:val="21"/>
                    </w:rPr>
                  </w:pPr>
                  <w:r>
                    <w:rPr>
                      <w:rFonts w:hint="eastAsia"/>
                      <w:color w:val="auto"/>
                      <w:szCs w:val="21"/>
                      <w:lang w:val="en-US" w:eastAsia="zh-CN"/>
                    </w:rPr>
                    <w:t>240</w:t>
                  </w:r>
                </w:p>
              </w:tc>
              <w:tc>
                <w:tcPr>
                  <w:tcW w:w="287" w:type="pct"/>
                  <w:vMerge w:val="restart"/>
                  <w:vAlign w:val="center"/>
                </w:tcPr>
                <w:p w14:paraId="31342FA5">
                  <w:pPr>
                    <w:ind w:left="-107" w:leftChars="-51" w:right="-105" w:rightChars="-50"/>
                    <w:jc w:val="center"/>
                    <w:rPr>
                      <w:color w:val="auto"/>
                      <w:szCs w:val="21"/>
                    </w:rPr>
                  </w:pPr>
                  <w:r>
                    <w:rPr>
                      <w:color w:val="auto"/>
                      <w:szCs w:val="21"/>
                    </w:rPr>
                    <w:t>进入</w:t>
                  </w:r>
                </w:p>
                <w:p w14:paraId="0749B06E">
                  <w:pPr>
                    <w:ind w:left="-107" w:leftChars="-51" w:right="-105" w:rightChars="-50"/>
                    <w:jc w:val="center"/>
                    <w:rPr>
                      <w:color w:val="auto"/>
                      <w:szCs w:val="21"/>
                    </w:rPr>
                  </w:pPr>
                  <w:r>
                    <w:rPr>
                      <w:color w:val="auto"/>
                      <w:szCs w:val="21"/>
                    </w:rPr>
                    <w:t>城镇</w:t>
                  </w:r>
                </w:p>
                <w:p w14:paraId="3B55D1D5">
                  <w:pPr>
                    <w:ind w:left="-107" w:leftChars="-51" w:right="-105" w:rightChars="-50"/>
                    <w:jc w:val="center"/>
                    <w:rPr>
                      <w:color w:val="auto"/>
                      <w:szCs w:val="21"/>
                    </w:rPr>
                  </w:pPr>
                  <w:r>
                    <w:rPr>
                      <w:color w:val="auto"/>
                      <w:szCs w:val="21"/>
                    </w:rPr>
                    <w:t>污水</w:t>
                  </w:r>
                </w:p>
                <w:p w14:paraId="45419F99">
                  <w:pPr>
                    <w:ind w:left="-107" w:leftChars="-51" w:right="-105" w:rightChars="-50"/>
                    <w:jc w:val="center"/>
                    <w:rPr>
                      <w:color w:val="auto"/>
                      <w:szCs w:val="21"/>
                    </w:rPr>
                  </w:pPr>
                  <w:r>
                    <w:rPr>
                      <w:color w:val="auto"/>
                      <w:szCs w:val="21"/>
                    </w:rPr>
                    <w:t>处理</w:t>
                  </w:r>
                </w:p>
                <w:p w14:paraId="3136FF5B">
                  <w:pPr>
                    <w:ind w:left="-107" w:leftChars="-51" w:right="-105" w:rightChars="-50"/>
                    <w:jc w:val="center"/>
                    <w:rPr>
                      <w:color w:val="auto"/>
                      <w:szCs w:val="21"/>
                    </w:rPr>
                  </w:pPr>
                  <w:r>
                    <w:rPr>
                      <w:color w:val="auto"/>
                      <w:szCs w:val="21"/>
                    </w:rPr>
                    <w:t>厂</w:t>
                  </w:r>
                </w:p>
              </w:tc>
              <w:tc>
                <w:tcPr>
                  <w:tcW w:w="570" w:type="pct"/>
                  <w:vMerge w:val="restart"/>
                  <w:vAlign w:val="center"/>
                </w:tcPr>
                <w:p w14:paraId="0F9A6C36">
                  <w:pPr>
                    <w:ind w:left="-106" w:leftChars="-51" w:right="-158" w:rightChars="-75" w:hanging="1"/>
                    <w:jc w:val="center"/>
                    <w:rPr>
                      <w:color w:val="auto"/>
                      <w:szCs w:val="21"/>
                    </w:rPr>
                  </w:pPr>
                  <w:r>
                    <w:rPr>
                      <w:color w:val="auto"/>
                      <w:szCs w:val="21"/>
                    </w:rPr>
                    <w:t>间断排放，排放期间流量不稳定且无规律，但不属于冲击型排放</w:t>
                  </w:r>
                </w:p>
              </w:tc>
              <w:tc>
                <w:tcPr>
                  <w:tcW w:w="355" w:type="pct"/>
                  <w:vMerge w:val="restart"/>
                  <w:vAlign w:val="center"/>
                </w:tcPr>
                <w:p w14:paraId="4B5973BC">
                  <w:pPr>
                    <w:ind w:left="-106" w:leftChars="-51" w:right="-122" w:rightChars="-58" w:hanging="1"/>
                    <w:jc w:val="center"/>
                    <w:rPr>
                      <w:color w:val="auto"/>
                      <w:szCs w:val="21"/>
                    </w:rPr>
                  </w:pPr>
                  <w:r>
                    <w:rPr>
                      <w:color w:val="auto"/>
                      <w:szCs w:val="21"/>
                    </w:rPr>
                    <w:t>流量产生期间</w:t>
                  </w:r>
                </w:p>
              </w:tc>
              <w:tc>
                <w:tcPr>
                  <w:tcW w:w="285" w:type="pct"/>
                  <w:vMerge w:val="restart"/>
                  <w:vAlign w:val="center"/>
                </w:tcPr>
                <w:p w14:paraId="78C6B125">
                  <w:pPr>
                    <w:ind w:left="-107" w:leftChars="-51" w:right="-162" w:rightChars="-77"/>
                    <w:jc w:val="center"/>
                    <w:rPr>
                      <w:color w:val="auto"/>
                      <w:szCs w:val="21"/>
                    </w:rPr>
                  </w:pPr>
                  <w:r>
                    <w:rPr>
                      <w:rFonts w:hint="eastAsia"/>
                      <w:snapToGrid w:val="0"/>
                      <w:color w:val="auto"/>
                      <w:kern w:val="0"/>
                      <w:szCs w:val="21"/>
                    </w:rPr>
                    <w:t>蚌埠市第二污水处理厂</w:t>
                  </w:r>
                </w:p>
              </w:tc>
              <w:tc>
                <w:tcPr>
                  <w:tcW w:w="503" w:type="pct"/>
                  <w:vAlign w:val="center"/>
                </w:tcPr>
                <w:p w14:paraId="179433C6">
                  <w:pPr>
                    <w:kinsoku w:val="0"/>
                    <w:overflowPunct w:val="0"/>
                    <w:autoSpaceDE w:val="0"/>
                    <w:autoSpaceDN w:val="0"/>
                    <w:adjustRightInd w:val="0"/>
                    <w:snapToGrid w:val="0"/>
                    <w:ind w:left="-106" w:leftChars="-51" w:right="-76" w:rightChars="-36" w:hanging="1"/>
                    <w:jc w:val="center"/>
                    <w:rPr>
                      <w:snapToGrid w:val="0"/>
                      <w:color w:val="auto"/>
                      <w:kern w:val="0"/>
                    </w:rPr>
                  </w:pPr>
                  <w:r>
                    <w:rPr>
                      <w:snapToGrid w:val="0"/>
                      <w:color w:val="auto"/>
                      <w:kern w:val="0"/>
                    </w:rPr>
                    <w:t>COD</w:t>
                  </w:r>
                </w:p>
              </w:tc>
              <w:tc>
                <w:tcPr>
                  <w:tcW w:w="598" w:type="pct"/>
                  <w:vAlign w:val="center"/>
                </w:tcPr>
                <w:p w14:paraId="46B802E1">
                  <w:pPr>
                    <w:jc w:val="center"/>
                    <w:rPr>
                      <w:color w:val="auto"/>
                      <w:szCs w:val="21"/>
                    </w:rPr>
                  </w:pPr>
                  <w:r>
                    <w:rPr>
                      <w:color w:val="auto"/>
                      <w:szCs w:val="21"/>
                    </w:rPr>
                    <w:t>50</w:t>
                  </w:r>
                </w:p>
              </w:tc>
            </w:tr>
            <w:tr w14:paraId="1B67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continue"/>
                  <w:vAlign w:val="center"/>
                </w:tcPr>
                <w:p w14:paraId="578C5E3D">
                  <w:pPr>
                    <w:widowControl/>
                    <w:jc w:val="left"/>
                    <w:rPr>
                      <w:color w:val="auto"/>
                      <w:szCs w:val="21"/>
                    </w:rPr>
                  </w:pPr>
                </w:p>
              </w:tc>
              <w:tc>
                <w:tcPr>
                  <w:tcW w:w="373" w:type="pct"/>
                  <w:vMerge w:val="continue"/>
                  <w:vAlign w:val="center"/>
                </w:tcPr>
                <w:p w14:paraId="2411F5A0">
                  <w:pPr>
                    <w:widowControl/>
                    <w:jc w:val="left"/>
                    <w:rPr>
                      <w:color w:val="auto"/>
                      <w:szCs w:val="21"/>
                    </w:rPr>
                  </w:pPr>
                </w:p>
              </w:tc>
              <w:tc>
                <w:tcPr>
                  <w:tcW w:w="747" w:type="pct"/>
                  <w:vMerge w:val="continue"/>
                  <w:vAlign w:val="center"/>
                </w:tcPr>
                <w:p w14:paraId="46920A2E">
                  <w:pPr>
                    <w:widowControl/>
                    <w:jc w:val="left"/>
                    <w:rPr>
                      <w:color w:val="auto"/>
                      <w:spacing w:val="-20"/>
                      <w:szCs w:val="21"/>
                    </w:rPr>
                  </w:pPr>
                </w:p>
              </w:tc>
              <w:tc>
                <w:tcPr>
                  <w:tcW w:w="682" w:type="pct"/>
                  <w:vMerge w:val="continue"/>
                  <w:vAlign w:val="center"/>
                </w:tcPr>
                <w:p w14:paraId="63A5231F">
                  <w:pPr>
                    <w:widowControl/>
                    <w:jc w:val="left"/>
                    <w:rPr>
                      <w:color w:val="auto"/>
                      <w:spacing w:val="-20"/>
                      <w:szCs w:val="21"/>
                    </w:rPr>
                  </w:pPr>
                </w:p>
              </w:tc>
              <w:tc>
                <w:tcPr>
                  <w:tcW w:w="362" w:type="pct"/>
                  <w:vMerge w:val="continue"/>
                  <w:vAlign w:val="center"/>
                </w:tcPr>
                <w:p w14:paraId="6EC33700">
                  <w:pPr>
                    <w:widowControl/>
                    <w:jc w:val="left"/>
                    <w:rPr>
                      <w:color w:val="auto"/>
                      <w:spacing w:val="-20"/>
                      <w:szCs w:val="21"/>
                    </w:rPr>
                  </w:pPr>
                </w:p>
              </w:tc>
              <w:tc>
                <w:tcPr>
                  <w:tcW w:w="287" w:type="pct"/>
                  <w:vMerge w:val="continue"/>
                  <w:vAlign w:val="center"/>
                </w:tcPr>
                <w:p w14:paraId="0352620E">
                  <w:pPr>
                    <w:widowControl/>
                    <w:jc w:val="left"/>
                    <w:rPr>
                      <w:color w:val="auto"/>
                      <w:szCs w:val="21"/>
                    </w:rPr>
                  </w:pPr>
                </w:p>
              </w:tc>
              <w:tc>
                <w:tcPr>
                  <w:tcW w:w="570" w:type="pct"/>
                  <w:vMerge w:val="continue"/>
                  <w:vAlign w:val="center"/>
                </w:tcPr>
                <w:p w14:paraId="101F4BAA">
                  <w:pPr>
                    <w:widowControl/>
                    <w:jc w:val="left"/>
                    <w:rPr>
                      <w:color w:val="auto"/>
                      <w:szCs w:val="21"/>
                    </w:rPr>
                  </w:pPr>
                </w:p>
              </w:tc>
              <w:tc>
                <w:tcPr>
                  <w:tcW w:w="355" w:type="pct"/>
                  <w:vMerge w:val="continue"/>
                  <w:vAlign w:val="center"/>
                </w:tcPr>
                <w:p w14:paraId="013AE124">
                  <w:pPr>
                    <w:widowControl/>
                    <w:jc w:val="left"/>
                    <w:rPr>
                      <w:color w:val="auto"/>
                      <w:szCs w:val="21"/>
                    </w:rPr>
                  </w:pPr>
                </w:p>
              </w:tc>
              <w:tc>
                <w:tcPr>
                  <w:tcW w:w="285" w:type="pct"/>
                  <w:vMerge w:val="continue"/>
                  <w:vAlign w:val="center"/>
                </w:tcPr>
                <w:p w14:paraId="2B64B6C2">
                  <w:pPr>
                    <w:widowControl/>
                    <w:jc w:val="left"/>
                    <w:rPr>
                      <w:color w:val="auto"/>
                      <w:szCs w:val="21"/>
                    </w:rPr>
                  </w:pPr>
                </w:p>
              </w:tc>
              <w:tc>
                <w:tcPr>
                  <w:tcW w:w="503" w:type="pct"/>
                  <w:vAlign w:val="center"/>
                </w:tcPr>
                <w:p w14:paraId="0B7C75D2">
                  <w:pPr>
                    <w:kinsoku w:val="0"/>
                    <w:overflowPunct w:val="0"/>
                    <w:autoSpaceDE w:val="0"/>
                    <w:autoSpaceDN w:val="0"/>
                    <w:adjustRightInd w:val="0"/>
                    <w:snapToGrid w:val="0"/>
                    <w:ind w:left="-107" w:leftChars="-51" w:right="-76" w:rightChars="-36"/>
                    <w:jc w:val="center"/>
                    <w:rPr>
                      <w:rFonts w:eastAsia="Times New Roman"/>
                      <w:snapToGrid w:val="0"/>
                      <w:color w:val="auto"/>
                      <w:kern w:val="0"/>
                      <w:lang w:eastAsia="zh-Hans"/>
                    </w:rPr>
                  </w:pPr>
                  <w:r>
                    <w:rPr>
                      <w:snapToGrid w:val="0"/>
                      <w:color w:val="auto"/>
                      <w:kern w:val="0"/>
                      <w:lang w:eastAsia="zh-Hans"/>
                    </w:rPr>
                    <w:t>BOD</w:t>
                  </w:r>
                  <w:r>
                    <w:rPr>
                      <w:snapToGrid w:val="0"/>
                      <w:color w:val="auto"/>
                      <w:kern w:val="0"/>
                      <w:vertAlign w:val="subscript"/>
                      <w:lang w:eastAsia="zh-Hans"/>
                    </w:rPr>
                    <w:t>5</w:t>
                  </w:r>
                </w:p>
              </w:tc>
              <w:tc>
                <w:tcPr>
                  <w:tcW w:w="598" w:type="pct"/>
                  <w:vAlign w:val="center"/>
                </w:tcPr>
                <w:p w14:paraId="19DA1F87">
                  <w:pPr>
                    <w:jc w:val="center"/>
                    <w:rPr>
                      <w:color w:val="auto"/>
                      <w:szCs w:val="21"/>
                    </w:rPr>
                  </w:pPr>
                  <w:r>
                    <w:rPr>
                      <w:color w:val="auto"/>
                      <w:szCs w:val="21"/>
                    </w:rPr>
                    <w:t>6</w:t>
                  </w:r>
                </w:p>
              </w:tc>
            </w:tr>
            <w:tr w14:paraId="123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continue"/>
                  <w:vAlign w:val="center"/>
                </w:tcPr>
                <w:p w14:paraId="61384A7A">
                  <w:pPr>
                    <w:widowControl/>
                    <w:jc w:val="left"/>
                    <w:rPr>
                      <w:color w:val="auto"/>
                      <w:szCs w:val="21"/>
                    </w:rPr>
                  </w:pPr>
                </w:p>
              </w:tc>
              <w:tc>
                <w:tcPr>
                  <w:tcW w:w="373" w:type="pct"/>
                  <w:vMerge w:val="continue"/>
                  <w:vAlign w:val="center"/>
                </w:tcPr>
                <w:p w14:paraId="3D9036C7">
                  <w:pPr>
                    <w:widowControl/>
                    <w:jc w:val="left"/>
                    <w:rPr>
                      <w:color w:val="auto"/>
                      <w:szCs w:val="21"/>
                    </w:rPr>
                  </w:pPr>
                </w:p>
              </w:tc>
              <w:tc>
                <w:tcPr>
                  <w:tcW w:w="747" w:type="pct"/>
                  <w:vMerge w:val="continue"/>
                  <w:vAlign w:val="center"/>
                </w:tcPr>
                <w:p w14:paraId="22554DB5">
                  <w:pPr>
                    <w:widowControl/>
                    <w:jc w:val="left"/>
                    <w:rPr>
                      <w:color w:val="auto"/>
                      <w:spacing w:val="-20"/>
                      <w:szCs w:val="21"/>
                    </w:rPr>
                  </w:pPr>
                </w:p>
              </w:tc>
              <w:tc>
                <w:tcPr>
                  <w:tcW w:w="682" w:type="pct"/>
                  <w:vMerge w:val="continue"/>
                  <w:vAlign w:val="center"/>
                </w:tcPr>
                <w:p w14:paraId="4CF55271">
                  <w:pPr>
                    <w:widowControl/>
                    <w:jc w:val="left"/>
                    <w:rPr>
                      <w:color w:val="auto"/>
                      <w:spacing w:val="-20"/>
                      <w:szCs w:val="21"/>
                    </w:rPr>
                  </w:pPr>
                </w:p>
              </w:tc>
              <w:tc>
                <w:tcPr>
                  <w:tcW w:w="362" w:type="pct"/>
                  <w:vMerge w:val="continue"/>
                  <w:vAlign w:val="center"/>
                </w:tcPr>
                <w:p w14:paraId="6890CCA4">
                  <w:pPr>
                    <w:widowControl/>
                    <w:jc w:val="left"/>
                    <w:rPr>
                      <w:color w:val="auto"/>
                      <w:spacing w:val="-20"/>
                      <w:szCs w:val="21"/>
                    </w:rPr>
                  </w:pPr>
                </w:p>
              </w:tc>
              <w:tc>
                <w:tcPr>
                  <w:tcW w:w="287" w:type="pct"/>
                  <w:vMerge w:val="continue"/>
                  <w:vAlign w:val="center"/>
                </w:tcPr>
                <w:p w14:paraId="77BC9094">
                  <w:pPr>
                    <w:widowControl/>
                    <w:jc w:val="left"/>
                    <w:rPr>
                      <w:color w:val="auto"/>
                      <w:szCs w:val="21"/>
                    </w:rPr>
                  </w:pPr>
                </w:p>
              </w:tc>
              <w:tc>
                <w:tcPr>
                  <w:tcW w:w="570" w:type="pct"/>
                  <w:vMerge w:val="continue"/>
                  <w:vAlign w:val="center"/>
                </w:tcPr>
                <w:p w14:paraId="731E30E6">
                  <w:pPr>
                    <w:widowControl/>
                    <w:jc w:val="left"/>
                    <w:rPr>
                      <w:color w:val="auto"/>
                      <w:szCs w:val="21"/>
                    </w:rPr>
                  </w:pPr>
                </w:p>
              </w:tc>
              <w:tc>
                <w:tcPr>
                  <w:tcW w:w="355" w:type="pct"/>
                  <w:vMerge w:val="continue"/>
                  <w:vAlign w:val="center"/>
                </w:tcPr>
                <w:p w14:paraId="398A71F2">
                  <w:pPr>
                    <w:widowControl/>
                    <w:jc w:val="left"/>
                    <w:rPr>
                      <w:color w:val="auto"/>
                      <w:szCs w:val="21"/>
                    </w:rPr>
                  </w:pPr>
                </w:p>
              </w:tc>
              <w:tc>
                <w:tcPr>
                  <w:tcW w:w="285" w:type="pct"/>
                  <w:vMerge w:val="continue"/>
                  <w:vAlign w:val="center"/>
                </w:tcPr>
                <w:p w14:paraId="026DB449">
                  <w:pPr>
                    <w:widowControl/>
                    <w:jc w:val="left"/>
                    <w:rPr>
                      <w:color w:val="auto"/>
                      <w:szCs w:val="21"/>
                    </w:rPr>
                  </w:pPr>
                </w:p>
              </w:tc>
              <w:tc>
                <w:tcPr>
                  <w:tcW w:w="503" w:type="pct"/>
                  <w:vAlign w:val="center"/>
                </w:tcPr>
                <w:p w14:paraId="11174712">
                  <w:pPr>
                    <w:kinsoku w:val="0"/>
                    <w:overflowPunct w:val="0"/>
                    <w:autoSpaceDE w:val="0"/>
                    <w:autoSpaceDN w:val="0"/>
                    <w:adjustRightInd w:val="0"/>
                    <w:snapToGrid w:val="0"/>
                    <w:ind w:left="-107" w:leftChars="-51" w:right="-76" w:rightChars="-36"/>
                    <w:jc w:val="center"/>
                    <w:rPr>
                      <w:snapToGrid w:val="0"/>
                      <w:color w:val="auto"/>
                      <w:kern w:val="0"/>
                    </w:rPr>
                  </w:pPr>
                  <w:r>
                    <w:rPr>
                      <w:snapToGrid w:val="0"/>
                      <w:color w:val="auto"/>
                      <w:kern w:val="0"/>
                    </w:rPr>
                    <w:t>SS</w:t>
                  </w:r>
                </w:p>
              </w:tc>
              <w:tc>
                <w:tcPr>
                  <w:tcW w:w="598" w:type="pct"/>
                  <w:vAlign w:val="center"/>
                </w:tcPr>
                <w:p w14:paraId="3677FAF0">
                  <w:pPr>
                    <w:jc w:val="center"/>
                    <w:rPr>
                      <w:color w:val="auto"/>
                      <w:szCs w:val="21"/>
                    </w:rPr>
                  </w:pPr>
                  <w:r>
                    <w:rPr>
                      <w:color w:val="auto"/>
                      <w:szCs w:val="21"/>
                    </w:rPr>
                    <w:t>10</w:t>
                  </w:r>
                </w:p>
              </w:tc>
            </w:tr>
            <w:tr w14:paraId="5C5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3" w:type="pct"/>
                  <w:vMerge w:val="continue"/>
                  <w:vAlign w:val="center"/>
                </w:tcPr>
                <w:p w14:paraId="09EC547C">
                  <w:pPr>
                    <w:widowControl/>
                    <w:jc w:val="left"/>
                    <w:rPr>
                      <w:color w:val="auto"/>
                      <w:szCs w:val="21"/>
                    </w:rPr>
                  </w:pPr>
                </w:p>
              </w:tc>
              <w:tc>
                <w:tcPr>
                  <w:tcW w:w="373" w:type="pct"/>
                  <w:vMerge w:val="continue"/>
                  <w:vAlign w:val="center"/>
                </w:tcPr>
                <w:p w14:paraId="64429B5F">
                  <w:pPr>
                    <w:widowControl/>
                    <w:jc w:val="left"/>
                    <w:rPr>
                      <w:color w:val="auto"/>
                      <w:szCs w:val="21"/>
                    </w:rPr>
                  </w:pPr>
                </w:p>
              </w:tc>
              <w:tc>
                <w:tcPr>
                  <w:tcW w:w="747" w:type="pct"/>
                  <w:vMerge w:val="continue"/>
                  <w:vAlign w:val="center"/>
                </w:tcPr>
                <w:p w14:paraId="5A2FECA4">
                  <w:pPr>
                    <w:widowControl/>
                    <w:jc w:val="left"/>
                    <w:rPr>
                      <w:color w:val="auto"/>
                      <w:spacing w:val="-20"/>
                      <w:szCs w:val="21"/>
                    </w:rPr>
                  </w:pPr>
                </w:p>
              </w:tc>
              <w:tc>
                <w:tcPr>
                  <w:tcW w:w="682" w:type="pct"/>
                  <w:vMerge w:val="continue"/>
                  <w:vAlign w:val="center"/>
                </w:tcPr>
                <w:p w14:paraId="3C68A8E3">
                  <w:pPr>
                    <w:widowControl/>
                    <w:jc w:val="left"/>
                    <w:rPr>
                      <w:color w:val="auto"/>
                      <w:spacing w:val="-20"/>
                      <w:szCs w:val="21"/>
                    </w:rPr>
                  </w:pPr>
                </w:p>
              </w:tc>
              <w:tc>
                <w:tcPr>
                  <w:tcW w:w="362" w:type="pct"/>
                  <w:vMerge w:val="continue"/>
                  <w:vAlign w:val="center"/>
                </w:tcPr>
                <w:p w14:paraId="4A759761">
                  <w:pPr>
                    <w:widowControl/>
                    <w:jc w:val="left"/>
                    <w:rPr>
                      <w:color w:val="auto"/>
                      <w:spacing w:val="-20"/>
                      <w:szCs w:val="21"/>
                    </w:rPr>
                  </w:pPr>
                </w:p>
              </w:tc>
              <w:tc>
                <w:tcPr>
                  <w:tcW w:w="287" w:type="pct"/>
                  <w:vMerge w:val="continue"/>
                  <w:vAlign w:val="center"/>
                </w:tcPr>
                <w:p w14:paraId="52CEFB85">
                  <w:pPr>
                    <w:widowControl/>
                    <w:jc w:val="left"/>
                    <w:rPr>
                      <w:color w:val="auto"/>
                      <w:szCs w:val="21"/>
                    </w:rPr>
                  </w:pPr>
                </w:p>
              </w:tc>
              <w:tc>
                <w:tcPr>
                  <w:tcW w:w="570" w:type="pct"/>
                  <w:vMerge w:val="continue"/>
                  <w:vAlign w:val="center"/>
                </w:tcPr>
                <w:p w14:paraId="73CB57D8">
                  <w:pPr>
                    <w:widowControl/>
                    <w:jc w:val="left"/>
                    <w:rPr>
                      <w:color w:val="auto"/>
                      <w:szCs w:val="21"/>
                    </w:rPr>
                  </w:pPr>
                </w:p>
              </w:tc>
              <w:tc>
                <w:tcPr>
                  <w:tcW w:w="355" w:type="pct"/>
                  <w:vMerge w:val="continue"/>
                  <w:vAlign w:val="center"/>
                </w:tcPr>
                <w:p w14:paraId="14DF1643">
                  <w:pPr>
                    <w:widowControl/>
                    <w:jc w:val="left"/>
                    <w:rPr>
                      <w:color w:val="auto"/>
                      <w:szCs w:val="21"/>
                    </w:rPr>
                  </w:pPr>
                </w:p>
              </w:tc>
              <w:tc>
                <w:tcPr>
                  <w:tcW w:w="285" w:type="pct"/>
                  <w:vMerge w:val="continue"/>
                  <w:vAlign w:val="center"/>
                </w:tcPr>
                <w:p w14:paraId="447E0593">
                  <w:pPr>
                    <w:widowControl/>
                    <w:jc w:val="left"/>
                    <w:rPr>
                      <w:color w:val="auto"/>
                      <w:szCs w:val="21"/>
                    </w:rPr>
                  </w:pPr>
                </w:p>
              </w:tc>
              <w:tc>
                <w:tcPr>
                  <w:tcW w:w="503" w:type="pct"/>
                  <w:vAlign w:val="center"/>
                </w:tcPr>
                <w:p w14:paraId="49B045A4">
                  <w:pPr>
                    <w:kinsoku w:val="0"/>
                    <w:overflowPunct w:val="0"/>
                    <w:autoSpaceDE w:val="0"/>
                    <w:autoSpaceDN w:val="0"/>
                    <w:adjustRightInd w:val="0"/>
                    <w:snapToGrid w:val="0"/>
                    <w:ind w:left="-107" w:leftChars="-51" w:right="-76" w:rightChars="-36"/>
                    <w:jc w:val="center"/>
                    <w:rPr>
                      <w:snapToGrid w:val="0"/>
                      <w:color w:val="auto"/>
                      <w:kern w:val="0"/>
                    </w:rPr>
                  </w:pPr>
                  <w:r>
                    <w:rPr>
                      <w:rFonts w:hint="eastAsia"/>
                      <w:snapToGrid w:val="0"/>
                      <w:color w:val="auto"/>
                      <w:kern w:val="0"/>
                    </w:rPr>
                    <w:t>氨氮</w:t>
                  </w:r>
                </w:p>
              </w:tc>
              <w:tc>
                <w:tcPr>
                  <w:tcW w:w="598" w:type="pct"/>
                  <w:vAlign w:val="center"/>
                </w:tcPr>
                <w:p w14:paraId="07DF30F3">
                  <w:pPr>
                    <w:jc w:val="center"/>
                    <w:rPr>
                      <w:color w:val="auto"/>
                      <w:szCs w:val="21"/>
                    </w:rPr>
                  </w:pPr>
                  <w:r>
                    <w:rPr>
                      <w:color w:val="auto"/>
                      <w:szCs w:val="21"/>
                    </w:rPr>
                    <w:t>5</w:t>
                  </w:r>
                  <w:r>
                    <w:rPr>
                      <w:rFonts w:hint="eastAsia"/>
                      <w:color w:val="auto"/>
                      <w:szCs w:val="21"/>
                    </w:rPr>
                    <w:t>（8）</w:t>
                  </w:r>
                </w:p>
              </w:tc>
            </w:tr>
          </w:tbl>
          <w:p w14:paraId="3C56802E">
            <w:pPr>
              <w:jc w:val="left"/>
              <w:rPr>
                <w:color w:val="auto"/>
                <w:sz w:val="18"/>
                <w:szCs w:val="18"/>
              </w:rPr>
            </w:pPr>
            <w:r>
              <w:rPr>
                <w:rFonts w:hint="eastAsia"/>
                <w:color w:val="auto"/>
                <w:sz w:val="18"/>
                <w:szCs w:val="18"/>
              </w:rPr>
              <w:t>注：括号外数值为水温＞1</w:t>
            </w:r>
            <w:r>
              <w:rPr>
                <w:color w:val="auto"/>
                <w:sz w:val="18"/>
                <w:szCs w:val="18"/>
              </w:rPr>
              <w:t>2</w:t>
            </w:r>
            <w:r>
              <w:rPr>
                <w:rFonts w:hint="eastAsia"/>
                <w:color w:val="auto"/>
                <w:sz w:val="18"/>
                <w:szCs w:val="18"/>
              </w:rPr>
              <w:t>℃时的控制指标，括号内数值为水温≤1</w:t>
            </w:r>
            <w:r>
              <w:rPr>
                <w:color w:val="auto"/>
                <w:sz w:val="18"/>
                <w:szCs w:val="18"/>
              </w:rPr>
              <w:t>2</w:t>
            </w:r>
            <w:r>
              <w:rPr>
                <w:rFonts w:hint="eastAsia"/>
                <w:color w:val="auto"/>
                <w:sz w:val="18"/>
                <w:szCs w:val="18"/>
              </w:rPr>
              <w:t>℃时的控制指标。</w:t>
            </w:r>
          </w:p>
          <w:p w14:paraId="1728C295">
            <w:pPr>
              <w:spacing w:line="500" w:lineRule="exact"/>
              <w:ind w:firstLine="480" w:firstLineChars="200"/>
              <w:rPr>
                <w:color w:val="auto"/>
                <w:sz w:val="24"/>
              </w:rPr>
            </w:pPr>
            <w:r>
              <w:rPr>
                <w:rFonts w:hint="eastAsia"/>
                <w:color w:val="auto"/>
                <w:sz w:val="24"/>
              </w:rPr>
              <w:t>2、防治措施可行性及达标性</w:t>
            </w:r>
          </w:p>
          <w:p w14:paraId="46DA53A0">
            <w:pPr>
              <w:spacing w:line="500" w:lineRule="exact"/>
              <w:ind w:firstLine="480" w:firstLineChars="200"/>
              <w:rPr>
                <w:color w:val="auto"/>
                <w:sz w:val="24"/>
              </w:rPr>
            </w:pPr>
            <w:r>
              <w:rPr>
                <w:rFonts w:hint="eastAsia"/>
                <w:color w:val="auto"/>
                <w:sz w:val="24"/>
              </w:rPr>
              <w:t>蚌埠市第二污水处理厂位于蚌埠市长淮卫路以南、凤阳路以北、津浦铁路（货运线）以东的仇岗村，收水范围涉及老虎山以东、黄山大道以北、龙子湖以西区域及龙子湖以东区域，服务范围约为</w:t>
            </w:r>
            <w:r>
              <w:rPr>
                <w:color w:val="auto"/>
                <w:sz w:val="24"/>
              </w:rPr>
              <w:t>78km</w:t>
            </w:r>
            <w:r>
              <w:rPr>
                <w:color w:val="auto"/>
                <w:sz w:val="24"/>
                <w:vertAlign w:val="superscript"/>
              </w:rPr>
              <w:t>2</w:t>
            </w:r>
            <w:r>
              <w:rPr>
                <w:rFonts w:hint="eastAsia"/>
                <w:color w:val="auto"/>
                <w:sz w:val="24"/>
              </w:rPr>
              <w:t>。本项目位于安徽省蚌埠市</w:t>
            </w:r>
            <w:r>
              <w:rPr>
                <w:rFonts w:hint="eastAsia"/>
                <w:color w:val="auto"/>
                <w:sz w:val="24"/>
                <w:lang w:val="en-US" w:eastAsia="zh-CN"/>
              </w:rPr>
              <w:t>高铁工贸园</w:t>
            </w:r>
            <w:r>
              <w:rPr>
                <w:rFonts w:hint="eastAsia"/>
                <w:color w:val="auto"/>
                <w:sz w:val="24"/>
              </w:rPr>
              <w:t>，属于该收水范围内。</w:t>
            </w:r>
          </w:p>
          <w:p w14:paraId="694DD5EA">
            <w:pPr>
              <w:spacing w:line="500" w:lineRule="exact"/>
              <w:ind w:firstLine="539"/>
              <w:rPr>
                <w:color w:val="auto"/>
                <w:sz w:val="24"/>
              </w:rPr>
            </w:pPr>
            <w:r>
              <w:rPr>
                <w:rFonts w:hint="eastAsia"/>
                <w:color w:val="auto"/>
                <w:sz w:val="24"/>
              </w:rPr>
              <w:t>污水处理采用</w:t>
            </w:r>
            <w:r>
              <w:rPr>
                <w:color w:val="auto"/>
                <w:sz w:val="24"/>
              </w:rPr>
              <w:t>“</w:t>
            </w:r>
            <w:r>
              <w:rPr>
                <w:rFonts w:hint="eastAsia"/>
                <w:color w:val="auto"/>
                <w:sz w:val="24"/>
              </w:rPr>
              <w:t>微孔曝气</w:t>
            </w:r>
            <w:r>
              <w:rPr>
                <w:color w:val="auto"/>
                <w:sz w:val="24"/>
              </w:rPr>
              <w:t>A</w:t>
            </w:r>
            <w:r>
              <w:rPr>
                <w:color w:val="auto"/>
                <w:sz w:val="24"/>
                <w:vertAlign w:val="superscript"/>
              </w:rPr>
              <w:t>2</w:t>
            </w:r>
            <w:r>
              <w:rPr>
                <w:color w:val="auto"/>
                <w:sz w:val="24"/>
              </w:rPr>
              <w:t>/O</w:t>
            </w:r>
            <w:r>
              <w:rPr>
                <w:rFonts w:hint="eastAsia"/>
                <w:color w:val="auto"/>
                <w:sz w:val="24"/>
              </w:rPr>
              <w:t>氧化沟工艺</w:t>
            </w:r>
            <w:r>
              <w:rPr>
                <w:color w:val="auto"/>
                <w:sz w:val="24"/>
              </w:rPr>
              <w:t>”</w:t>
            </w:r>
            <w:r>
              <w:rPr>
                <w:rFonts w:hint="eastAsia"/>
                <w:color w:val="auto"/>
                <w:sz w:val="24"/>
              </w:rPr>
              <w:t>工艺处理废水，尾水达《城镇污水处理厂污染物排放标准》（</w:t>
            </w:r>
            <w:r>
              <w:rPr>
                <w:color w:val="auto"/>
                <w:sz w:val="24"/>
              </w:rPr>
              <w:t>GB18918-2002</w:t>
            </w:r>
            <w:r>
              <w:rPr>
                <w:rFonts w:hint="eastAsia"/>
                <w:color w:val="auto"/>
                <w:sz w:val="24"/>
              </w:rPr>
              <w:t>）中一级</w:t>
            </w:r>
            <w:r>
              <w:rPr>
                <w:color w:val="auto"/>
                <w:sz w:val="24"/>
              </w:rPr>
              <w:t>A</w:t>
            </w:r>
            <w:r>
              <w:rPr>
                <w:rFonts w:hint="eastAsia"/>
                <w:color w:val="auto"/>
                <w:sz w:val="24"/>
              </w:rPr>
              <w:t>标准排放至淮河。</w:t>
            </w:r>
          </w:p>
          <w:p w14:paraId="475DA777">
            <w:pPr>
              <w:spacing w:line="500" w:lineRule="exact"/>
              <w:ind w:firstLine="539"/>
              <w:rPr>
                <w:color w:val="auto"/>
                <w:sz w:val="24"/>
              </w:rPr>
            </w:pPr>
            <w:r>
              <w:rPr>
                <w:rFonts w:hint="eastAsia"/>
                <w:color w:val="auto"/>
                <w:sz w:val="24"/>
              </w:rPr>
              <w:t>蚌埠市第二污水处理厂一期，二期总处理规模为</w:t>
            </w:r>
            <w:r>
              <w:rPr>
                <w:color w:val="auto"/>
                <w:sz w:val="24"/>
              </w:rPr>
              <w:t>20</w:t>
            </w:r>
            <w:r>
              <w:rPr>
                <w:rFonts w:hint="eastAsia"/>
                <w:color w:val="auto"/>
                <w:sz w:val="24"/>
              </w:rPr>
              <w:t>万</w:t>
            </w:r>
            <w:r>
              <w:rPr>
                <w:color w:val="auto"/>
                <w:sz w:val="24"/>
              </w:rPr>
              <w:t>m</w:t>
            </w:r>
            <w:r>
              <w:rPr>
                <w:color w:val="auto"/>
                <w:sz w:val="24"/>
                <w:vertAlign w:val="superscript"/>
              </w:rPr>
              <w:t>3</w:t>
            </w:r>
            <w:r>
              <w:rPr>
                <w:color w:val="auto"/>
                <w:sz w:val="24"/>
              </w:rPr>
              <w:t>/d</w:t>
            </w:r>
            <w:r>
              <w:rPr>
                <w:rFonts w:hint="eastAsia"/>
                <w:color w:val="auto"/>
                <w:sz w:val="24"/>
              </w:rPr>
              <w:t>，现状处理量约</w:t>
            </w:r>
            <w:r>
              <w:rPr>
                <w:color w:val="auto"/>
                <w:sz w:val="24"/>
              </w:rPr>
              <w:t>16.42</w:t>
            </w:r>
            <w:r>
              <w:rPr>
                <w:rFonts w:hint="eastAsia"/>
                <w:color w:val="auto"/>
                <w:sz w:val="24"/>
              </w:rPr>
              <w:t>万</w:t>
            </w:r>
            <w:r>
              <w:rPr>
                <w:color w:val="auto"/>
                <w:sz w:val="24"/>
              </w:rPr>
              <w:t>m</w:t>
            </w:r>
            <w:r>
              <w:rPr>
                <w:color w:val="auto"/>
                <w:sz w:val="24"/>
                <w:vertAlign w:val="superscript"/>
              </w:rPr>
              <w:t>3</w:t>
            </w:r>
            <w:r>
              <w:rPr>
                <w:color w:val="auto"/>
                <w:sz w:val="24"/>
              </w:rPr>
              <w:t>/d</w:t>
            </w:r>
            <w:r>
              <w:rPr>
                <w:rFonts w:hint="eastAsia"/>
                <w:color w:val="auto"/>
                <w:sz w:val="24"/>
              </w:rPr>
              <w:t>，污水处理厂余量为</w:t>
            </w:r>
            <w:r>
              <w:rPr>
                <w:color w:val="auto"/>
                <w:sz w:val="24"/>
              </w:rPr>
              <w:t>3.58</w:t>
            </w:r>
            <w:r>
              <w:rPr>
                <w:rFonts w:hint="eastAsia"/>
                <w:color w:val="auto"/>
                <w:sz w:val="24"/>
              </w:rPr>
              <w:t>万</w:t>
            </w:r>
            <w:r>
              <w:rPr>
                <w:color w:val="auto"/>
                <w:sz w:val="24"/>
              </w:rPr>
              <w:t>m</w:t>
            </w:r>
            <w:r>
              <w:rPr>
                <w:color w:val="auto"/>
                <w:sz w:val="24"/>
                <w:vertAlign w:val="superscript"/>
              </w:rPr>
              <w:t>3</w:t>
            </w:r>
            <w:r>
              <w:rPr>
                <w:color w:val="auto"/>
                <w:sz w:val="24"/>
              </w:rPr>
              <w:t>/d。本项目产生生活污水为</w:t>
            </w:r>
            <w:r>
              <w:rPr>
                <w:color w:val="auto"/>
                <w:sz w:val="24"/>
                <w:highlight w:val="none"/>
              </w:rPr>
              <w:t>0.</w:t>
            </w:r>
            <w:r>
              <w:rPr>
                <w:rFonts w:hint="eastAsia"/>
                <w:color w:val="auto"/>
                <w:sz w:val="24"/>
                <w:highlight w:val="none"/>
                <w:lang w:eastAsia="zh-CN"/>
              </w:rPr>
              <w:t>8</w:t>
            </w:r>
            <w:r>
              <w:rPr>
                <w:color w:val="auto"/>
                <w:sz w:val="24"/>
              </w:rPr>
              <w:t>m</w:t>
            </w:r>
            <w:r>
              <w:rPr>
                <w:color w:val="auto"/>
                <w:sz w:val="24"/>
                <w:vertAlign w:val="superscript"/>
              </w:rPr>
              <w:t>3</w:t>
            </w:r>
            <w:r>
              <w:rPr>
                <w:color w:val="auto"/>
                <w:sz w:val="24"/>
              </w:rPr>
              <w:t>/d</w:t>
            </w:r>
            <w:r>
              <w:rPr>
                <w:rFonts w:hint="eastAsia"/>
                <w:color w:val="auto"/>
                <w:sz w:val="24"/>
              </w:rPr>
              <w:t>，生活污水经化粪池处理后水质均</w:t>
            </w:r>
            <w:r>
              <w:rPr>
                <w:color w:val="auto"/>
                <w:sz w:val="24"/>
              </w:rPr>
              <w:t>满足蚌埠市第二污水处理厂接管标准</w:t>
            </w:r>
            <w:r>
              <w:rPr>
                <w:rFonts w:hint="eastAsia"/>
                <w:color w:val="auto"/>
                <w:sz w:val="24"/>
              </w:rPr>
              <w:t>。</w:t>
            </w:r>
          </w:p>
          <w:p w14:paraId="5192599B">
            <w:pPr>
              <w:spacing w:line="500" w:lineRule="exact"/>
              <w:ind w:firstLine="480" w:firstLineChars="200"/>
              <w:rPr>
                <w:color w:val="auto"/>
                <w:sz w:val="24"/>
              </w:rPr>
            </w:pPr>
            <w:r>
              <w:rPr>
                <w:color w:val="auto"/>
                <w:sz w:val="24"/>
              </w:rPr>
              <w:t>因此</w:t>
            </w:r>
            <w:r>
              <w:rPr>
                <w:rFonts w:hint="eastAsia"/>
                <w:color w:val="auto"/>
                <w:sz w:val="24"/>
              </w:rPr>
              <w:t>，</w:t>
            </w:r>
            <w:r>
              <w:rPr>
                <w:color w:val="auto"/>
                <w:sz w:val="24"/>
              </w:rPr>
              <w:t>本项目污水接管至蚌埠市第二污水处理厂进行处理是完全可行的</w:t>
            </w:r>
            <w:r>
              <w:rPr>
                <w:rFonts w:hint="eastAsia"/>
                <w:color w:val="auto"/>
                <w:sz w:val="24"/>
              </w:rPr>
              <w:t>。</w:t>
            </w:r>
          </w:p>
          <w:p w14:paraId="50A2CBB0">
            <w:pPr>
              <w:spacing w:line="500" w:lineRule="exact"/>
              <w:ind w:firstLine="480" w:firstLineChars="200"/>
              <w:rPr>
                <w:color w:val="auto"/>
                <w:sz w:val="24"/>
              </w:rPr>
            </w:pPr>
            <w:r>
              <w:rPr>
                <w:rFonts w:hint="eastAsia"/>
                <w:color w:val="auto"/>
                <w:sz w:val="24"/>
              </w:rPr>
              <w:t>3、</w:t>
            </w:r>
            <w:r>
              <w:rPr>
                <w:rFonts w:hint="eastAsia"/>
                <w:color w:val="auto"/>
                <w:sz w:val="24"/>
                <w:lang w:eastAsia="zh-CN"/>
              </w:rPr>
              <w:t>废水</w:t>
            </w:r>
            <w:r>
              <w:rPr>
                <w:rFonts w:hint="eastAsia"/>
                <w:color w:val="auto"/>
                <w:sz w:val="24"/>
              </w:rPr>
              <w:t>监测计划</w:t>
            </w:r>
          </w:p>
          <w:p w14:paraId="7106C5A2">
            <w:pPr>
              <w:spacing w:line="500" w:lineRule="exact"/>
              <w:ind w:firstLine="480" w:firstLineChars="200"/>
              <w:rPr>
                <w:color w:val="auto"/>
                <w:sz w:val="24"/>
              </w:rPr>
            </w:pPr>
            <w:r>
              <w:rPr>
                <w:rFonts w:hint="eastAsia"/>
                <w:color w:val="auto"/>
                <w:sz w:val="24"/>
              </w:rPr>
              <w:t>根据《排污单位自行监测技术指南 总则》（</w:t>
            </w:r>
            <w:r>
              <w:rPr>
                <w:color w:val="auto"/>
                <w:sz w:val="24"/>
              </w:rPr>
              <w:t>HJ 819-2017</w:t>
            </w:r>
            <w:r>
              <w:rPr>
                <w:rFonts w:hint="eastAsia"/>
                <w:color w:val="auto"/>
                <w:sz w:val="24"/>
              </w:rPr>
              <w:t>）、《排污许可证申请与核发技术规范石墨及其他非金属矿物制品制造》（HJ1119—2020）</w:t>
            </w:r>
            <w:r>
              <w:rPr>
                <w:rFonts w:hint="eastAsia"/>
                <w:snapToGrid w:val="0"/>
                <w:color w:val="auto"/>
                <w:kern w:val="0"/>
                <w:sz w:val="24"/>
                <w:lang w:val="en-US" w:eastAsia="zh-CN"/>
              </w:rPr>
              <w:t>简化管理单位</w:t>
            </w:r>
            <w:r>
              <w:rPr>
                <w:rFonts w:hint="eastAsia"/>
                <w:color w:val="auto"/>
                <w:sz w:val="24"/>
                <w:lang w:val="en-US" w:eastAsia="zh-CN"/>
              </w:rPr>
              <w:t>自行监测管理要求</w:t>
            </w:r>
            <w:r>
              <w:rPr>
                <w:rFonts w:hint="eastAsia"/>
                <w:color w:val="auto"/>
                <w:sz w:val="24"/>
              </w:rPr>
              <w:t>，本项目污染源监测计划见下表：</w:t>
            </w:r>
          </w:p>
          <w:p w14:paraId="4E24DA0C">
            <w:pPr>
              <w:spacing w:line="500" w:lineRule="exact"/>
              <w:ind w:firstLine="482" w:firstLineChars="200"/>
              <w:jc w:val="center"/>
              <w:rPr>
                <w:rFonts w:ascii="宋体" w:hAnsi="宋体" w:cs="宋体"/>
                <w:b/>
                <w:bCs/>
                <w:color w:val="auto"/>
                <w:kern w:val="0"/>
                <w:sz w:val="24"/>
              </w:rPr>
            </w:pPr>
            <w:r>
              <w:rPr>
                <w:rFonts w:hint="eastAsia" w:ascii="宋体" w:hAnsi="宋体" w:cs="宋体"/>
                <w:b/>
                <w:bCs/>
                <w:color w:val="auto"/>
                <w:kern w:val="0"/>
                <w:sz w:val="24"/>
              </w:rPr>
              <w:t>表</w:t>
            </w:r>
            <w:r>
              <w:rPr>
                <w:b/>
                <w:bCs/>
                <w:color w:val="auto"/>
                <w:kern w:val="0"/>
                <w:sz w:val="24"/>
              </w:rPr>
              <w:t xml:space="preserve">4-13 </w:t>
            </w:r>
            <w:r>
              <w:rPr>
                <w:rFonts w:hint="eastAsia"/>
                <w:b/>
                <w:bCs/>
                <w:color w:val="auto"/>
                <w:kern w:val="0"/>
                <w:sz w:val="24"/>
                <w:lang w:eastAsia="zh-CN"/>
              </w:rPr>
              <w:t>废水</w:t>
            </w:r>
            <w:r>
              <w:rPr>
                <w:rFonts w:hint="eastAsia" w:ascii="宋体" w:hAnsi="宋体" w:cs="宋体"/>
                <w:b/>
                <w:bCs/>
                <w:color w:val="auto"/>
                <w:kern w:val="0"/>
                <w:sz w:val="24"/>
              </w:rPr>
              <w:t>监测计划及记录信息表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10"/>
              <w:gridCol w:w="1110"/>
              <w:gridCol w:w="1773"/>
              <w:gridCol w:w="1132"/>
              <w:gridCol w:w="3646"/>
            </w:tblGrid>
            <w:tr w14:paraId="14A0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pct"/>
                  <w:vAlign w:val="center"/>
                </w:tcPr>
                <w:p w14:paraId="296D0A84">
                  <w:pPr>
                    <w:spacing w:line="240" w:lineRule="exact"/>
                    <w:jc w:val="center"/>
                    <w:rPr>
                      <w:color w:val="auto"/>
                      <w:kern w:val="24"/>
                      <w:szCs w:val="21"/>
                    </w:rPr>
                  </w:pPr>
                  <w:r>
                    <w:rPr>
                      <w:color w:val="auto"/>
                      <w:kern w:val="24"/>
                      <w:szCs w:val="21"/>
                    </w:rPr>
                    <w:t>项目</w:t>
                  </w:r>
                </w:p>
              </w:tc>
              <w:tc>
                <w:tcPr>
                  <w:tcW w:w="586" w:type="pct"/>
                  <w:vAlign w:val="center"/>
                </w:tcPr>
                <w:p w14:paraId="05E127F6">
                  <w:pPr>
                    <w:spacing w:line="240" w:lineRule="exact"/>
                    <w:jc w:val="center"/>
                    <w:rPr>
                      <w:color w:val="auto"/>
                      <w:kern w:val="24"/>
                      <w:szCs w:val="21"/>
                    </w:rPr>
                  </w:pPr>
                  <w:r>
                    <w:rPr>
                      <w:color w:val="auto"/>
                      <w:kern w:val="24"/>
                      <w:szCs w:val="21"/>
                    </w:rPr>
                    <w:t>类别</w:t>
                  </w:r>
                </w:p>
              </w:tc>
              <w:tc>
                <w:tcPr>
                  <w:tcW w:w="586" w:type="pct"/>
                  <w:vAlign w:val="center"/>
                </w:tcPr>
                <w:p w14:paraId="1E6BDB3D">
                  <w:pPr>
                    <w:spacing w:line="240" w:lineRule="exact"/>
                    <w:jc w:val="center"/>
                    <w:rPr>
                      <w:color w:val="auto"/>
                      <w:kern w:val="24"/>
                      <w:szCs w:val="21"/>
                    </w:rPr>
                  </w:pPr>
                  <w:r>
                    <w:rPr>
                      <w:color w:val="auto"/>
                      <w:kern w:val="24"/>
                      <w:szCs w:val="21"/>
                    </w:rPr>
                    <w:t>监测点位</w:t>
                  </w:r>
                </w:p>
              </w:tc>
              <w:tc>
                <w:tcPr>
                  <w:tcW w:w="936" w:type="pct"/>
                  <w:vAlign w:val="bottom"/>
                </w:tcPr>
                <w:p w14:paraId="44B83D2D">
                  <w:pPr>
                    <w:spacing w:line="240" w:lineRule="exact"/>
                    <w:jc w:val="center"/>
                    <w:rPr>
                      <w:color w:val="auto"/>
                      <w:kern w:val="24"/>
                      <w:szCs w:val="21"/>
                    </w:rPr>
                  </w:pPr>
                  <w:r>
                    <w:rPr>
                      <w:color w:val="auto"/>
                      <w:kern w:val="24"/>
                      <w:szCs w:val="21"/>
                    </w:rPr>
                    <w:t>监测项目</w:t>
                  </w:r>
                </w:p>
              </w:tc>
              <w:tc>
                <w:tcPr>
                  <w:tcW w:w="598" w:type="pct"/>
                  <w:vAlign w:val="center"/>
                </w:tcPr>
                <w:p w14:paraId="49330892">
                  <w:pPr>
                    <w:spacing w:line="240" w:lineRule="exact"/>
                    <w:jc w:val="center"/>
                    <w:rPr>
                      <w:color w:val="auto"/>
                      <w:kern w:val="24"/>
                      <w:szCs w:val="21"/>
                    </w:rPr>
                  </w:pPr>
                  <w:r>
                    <w:rPr>
                      <w:color w:val="auto"/>
                      <w:kern w:val="24"/>
                      <w:szCs w:val="21"/>
                    </w:rPr>
                    <w:t>监测频次</w:t>
                  </w:r>
                </w:p>
              </w:tc>
              <w:tc>
                <w:tcPr>
                  <w:tcW w:w="1925" w:type="pct"/>
                  <w:vAlign w:val="center"/>
                </w:tcPr>
                <w:p w14:paraId="7565369E">
                  <w:pPr>
                    <w:spacing w:line="240" w:lineRule="exact"/>
                    <w:jc w:val="center"/>
                    <w:rPr>
                      <w:color w:val="auto"/>
                      <w:kern w:val="24"/>
                      <w:szCs w:val="21"/>
                    </w:rPr>
                  </w:pPr>
                  <w:r>
                    <w:rPr>
                      <w:color w:val="auto"/>
                      <w:kern w:val="24"/>
                      <w:szCs w:val="21"/>
                    </w:rPr>
                    <w:t>执行排放标准</w:t>
                  </w:r>
                </w:p>
              </w:tc>
            </w:tr>
            <w:tr w14:paraId="43BB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9" w:type="pct"/>
                  <w:tcBorders>
                    <w:bottom w:val="single" w:color="auto" w:sz="4" w:space="0"/>
                  </w:tcBorders>
                  <w:vAlign w:val="center"/>
                </w:tcPr>
                <w:p w14:paraId="2DCE6F30">
                  <w:pPr>
                    <w:spacing w:line="240" w:lineRule="exact"/>
                    <w:jc w:val="center"/>
                    <w:rPr>
                      <w:color w:val="auto"/>
                      <w:kern w:val="24"/>
                      <w:szCs w:val="21"/>
                    </w:rPr>
                  </w:pPr>
                  <w:r>
                    <w:rPr>
                      <w:color w:val="auto"/>
                      <w:kern w:val="24"/>
                      <w:szCs w:val="21"/>
                    </w:rPr>
                    <w:t>废水</w:t>
                  </w:r>
                </w:p>
              </w:tc>
              <w:tc>
                <w:tcPr>
                  <w:tcW w:w="586" w:type="pct"/>
                  <w:tcBorders>
                    <w:bottom w:val="single" w:color="auto" w:sz="4" w:space="0"/>
                  </w:tcBorders>
                  <w:vAlign w:val="center"/>
                </w:tcPr>
                <w:p w14:paraId="2BB194BF">
                  <w:pPr>
                    <w:spacing w:line="240" w:lineRule="exact"/>
                    <w:jc w:val="center"/>
                    <w:rPr>
                      <w:color w:val="auto"/>
                    </w:rPr>
                  </w:pPr>
                  <w:r>
                    <w:rPr>
                      <w:snapToGrid w:val="0"/>
                      <w:color w:val="auto"/>
                      <w:kern w:val="24"/>
                      <w:szCs w:val="21"/>
                    </w:rPr>
                    <w:t>生活污水</w:t>
                  </w:r>
                </w:p>
              </w:tc>
              <w:tc>
                <w:tcPr>
                  <w:tcW w:w="586" w:type="pct"/>
                  <w:tcBorders>
                    <w:bottom w:val="single" w:color="auto" w:sz="4" w:space="0"/>
                  </w:tcBorders>
                  <w:vAlign w:val="center"/>
                </w:tcPr>
                <w:p w14:paraId="236E69E5">
                  <w:pPr>
                    <w:spacing w:line="240" w:lineRule="exact"/>
                    <w:jc w:val="center"/>
                    <w:rPr>
                      <w:snapToGrid w:val="0"/>
                      <w:color w:val="auto"/>
                      <w:kern w:val="24"/>
                      <w:szCs w:val="21"/>
                    </w:rPr>
                  </w:pPr>
                  <w:r>
                    <w:rPr>
                      <w:snapToGrid w:val="0"/>
                      <w:color w:val="auto"/>
                      <w:kern w:val="24"/>
                      <w:szCs w:val="21"/>
                    </w:rPr>
                    <w:t>厂区</w:t>
                  </w:r>
                </w:p>
                <w:p w14:paraId="2F863457">
                  <w:pPr>
                    <w:spacing w:line="240" w:lineRule="exact"/>
                    <w:jc w:val="center"/>
                    <w:rPr>
                      <w:snapToGrid w:val="0"/>
                      <w:color w:val="auto"/>
                      <w:kern w:val="24"/>
                      <w:szCs w:val="21"/>
                    </w:rPr>
                  </w:pPr>
                  <w:r>
                    <w:rPr>
                      <w:snapToGrid w:val="0"/>
                      <w:color w:val="auto"/>
                      <w:kern w:val="24"/>
                      <w:szCs w:val="21"/>
                    </w:rPr>
                    <w:t>总排口</w:t>
                  </w:r>
                </w:p>
              </w:tc>
              <w:tc>
                <w:tcPr>
                  <w:tcW w:w="936" w:type="pct"/>
                  <w:tcBorders>
                    <w:bottom w:val="single" w:color="auto" w:sz="4" w:space="0"/>
                  </w:tcBorders>
                  <w:vAlign w:val="center"/>
                </w:tcPr>
                <w:p w14:paraId="10F8EDC8">
                  <w:pPr>
                    <w:spacing w:line="240" w:lineRule="exact"/>
                    <w:jc w:val="center"/>
                    <w:rPr>
                      <w:snapToGrid w:val="0"/>
                      <w:color w:val="auto"/>
                      <w:kern w:val="24"/>
                      <w:szCs w:val="21"/>
                      <w:highlight w:val="yellow"/>
                    </w:rPr>
                  </w:pPr>
                  <w:r>
                    <w:rPr>
                      <w:snapToGrid w:val="0"/>
                      <w:color w:val="auto"/>
                      <w:kern w:val="0"/>
                      <w:highlight w:val="none"/>
                    </w:rPr>
                    <w:t>流量、pH、COD、BOD</w:t>
                  </w:r>
                  <w:r>
                    <w:rPr>
                      <w:snapToGrid w:val="0"/>
                      <w:color w:val="auto"/>
                      <w:kern w:val="0"/>
                      <w:highlight w:val="none"/>
                      <w:vertAlign w:val="subscript"/>
                    </w:rPr>
                    <w:t>5</w:t>
                  </w:r>
                  <w:r>
                    <w:rPr>
                      <w:snapToGrid w:val="0"/>
                      <w:color w:val="auto"/>
                      <w:kern w:val="0"/>
                      <w:highlight w:val="none"/>
                    </w:rPr>
                    <w:t>、SS、NH</w:t>
                  </w:r>
                  <w:r>
                    <w:rPr>
                      <w:snapToGrid w:val="0"/>
                      <w:color w:val="auto"/>
                      <w:kern w:val="0"/>
                      <w:highlight w:val="none"/>
                      <w:vertAlign w:val="subscript"/>
                    </w:rPr>
                    <w:t>3</w:t>
                  </w:r>
                  <w:r>
                    <w:rPr>
                      <w:snapToGrid w:val="0"/>
                      <w:color w:val="auto"/>
                      <w:kern w:val="0"/>
                      <w:highlight w:val="none"/>
                    </w:rPr>
                    <w:t>-N、</w:t>
                  </w:r>
                  <w:r>
                    <w:rPr>
                      <w:rFonts w:hint="eastAsia"/>
                      <w:snapToGrid w:val="0"/>
                      <w:color w:val="auto"/>
                      <w:kern w:val="0"/>
                      <w:highlight w:val="none"/>
                    </w:rPr>
                    <w:t>总磷、总氮</w:t>
                  </w:r>
                </w:p>
              </w:tc>
              <w:tc>
                <w:tcPr>
                  <w:tcW w:w="598" w:type="pct"/>
                  <w:tcBorders>
                    <w:bottom w:val="single" w:color="auto" w:sz="4" w:space="0"/>
                  </w:tcBorders>
                  <w:vAlign w:val="center"/>
                </w:tcPr>
                <w:p w14:paraId="33294872">
                  <w:pPr>
                    <w:spacing w:line="240" w:lineRule="exact"/>
                    <w:jc w:val="center"/>
                    <w:rPr>
                      <w:snapToGrid w:val="0"/>
                      <w:color w:val="auto"/>
                      <w:kern w:val="24"/>
                      <w:szCs w:val="21"/>
                    </w:rPr>
                  </w:pPr>
                  <w:r>
                    <w:rPr>
                      <w:snapToGrid w:val="0"/>
                      <w:color w:val="auto"/>
                      <w:kern w:val="24"/>
                      <w:szCs w:val="21"/>
                    </w:rPr>
                    <w:t>1次/</w:t>
                  </w:r>
                  <w:r>
                    <w:rPr>
                      <w:rFonts w:hint="eastAsia"/>
                      <w:snapToGrid w:val="0"/>
                      <w:color w:val="auto"/>
                      <w:kern w:val="24"/>
                      <w:szCs w:val="21"/>
                    </w:rPr>
                    <w:t>半</w:t>
                  </w:r>
                  <w:r>
                    <w:rPr>
                      <w:snapToGrid w:val="0"/>
                      <w:color w:val="auto"/>
                      <w:kern w:val="24"/>
                      <w:szCs w:val="21"/>
                    </w:rPr>
                    <w:t>年</w:t>
                  </w:r>
                </w:p>
              </w:tc>
              <w:tc>
                <w:tcPr>
                  <w:tcW w:w="1925" w:type="pct"/>
                  <w:tcBorders>
                    <w:bottom w:val="single" w:color="auto" w:sz="4" w:space="0"/>
                  </w:tcBorders>
                  <w:vAlign w:val="center"/>
                </w:tcPr>
                <w:p w14:paraId="7154CE7B">
                  <w:pPr>
                    <w:widowControl/>
                    <w:spacing w:line="240" w:lineRule="exact"/>
                    <w:jc w:val="center"/>
                    <w:rPr>
                      <w:color w:val="auto"/>
                      <w:kern w:val="0"/>
                      <w:sz w:val="24"/>
                    </w:rPr>
                  </w:pPr>
                  <w:r>
                    <w:rPr>
                      <w:rFonts w:hint="eastAsia"/>
                      <w:color w:val="auto"/>
                      <w:kern w:val="0"/>
                      <w:szCs w:val="21"/>
                    </w:rPr>
                    <w:t>蚌埠市第二污水处理厂接管标准和《污水综合排放标准》表4中三级排放标准要求</w:t>
                  </w:r>
                </w:p>
              </w:tc>
            </w:tr>
          </w:tbl>
          <w:p w14:paraId="3AD01B78">
            <w:pPr>
              <w:tabs>
                <w:tab w:val="left" w:pos="-160"/>
              </w:tabs>
              <w:spacing w:line="500" w:lineRule="exact"/>
              <w:ind w:firstLine="482" w:firstLineChars="200"/>
              <w:rPr>
                <w:b/>
                <w:color w:val="auto"/>
                <w:sz w:val="24"/>
              </w:rPr>
            </w:pPr>
            <w:r>
              <w:rPr>
                <w:rFonts w:hint="eastAsia"/>
                <w:b/>
                <w:color w:val="auto"/>
                <w:sz w:val="24"/>
              </w:rPr>
              <w:t>三</w:t>
            </w:r>
            <w:r>
              <w:rPr>
                <w:b/>
                <w:color w:val="auto"/>
                <w:sz w:val="24"/>
              </w:rPr>
              <w:t>、噪声</w:t>
            </w:r>
          </w:p>
          <w:p w14:paraId="01C768FA">
            <w:pPr>
              <w:tabs>
                <w:tab w:val="left" w:pos="-160"/>
              </w:tabs>
              <w:spacing w:line="500" w:lineRule="exact"/>
              <w:ind w:firstLine="480" w:firstLineChars="200"/>
              <w:rPr>
                <w:color w:val="auto"/>
                <w:sz w:val="24"/>
              </w:rPr>
            </w:pPr>
            <w:r>
              <w:rPr>
                <w:rFonts w:hint="eastAsia"/>
                <w:color w:val="auto"/>
                <w:sz w:val="24"/>
              </w:rPr>
              <w:t>1、噪声产排情况</w:t>
            </w:r>
          </w:p>
          <w:p w14:paraId="1FE1A73A">
            <w:pPr>
              <w:spacing w:line="500" w:lineRule="atLeast"/>
              <w:ind w:left="0" w:firstLine="480" w:firstLineChars="200"/>
              <w:rPr>
                <w:rFonts w:hint="eastAsia" w:hAnsi="宋体" w:eastAsia="宋体"/>
                <w:color w:val="auto"/>
                <w:sz w:val="24"/>
                <w:lang w:eastAsia="zh-CN"/>
              </w:rPr>
            </w:pPr>
            <w:r>
              <w:rPr>
                <w:rFonts w:hAnsi="宋体" w:eastAsia="宋体"/>
                <w:color w:val="auto"/>
                <w:sz w:val="24"/>
              </w:rPr>
              <w:t>项目</w:t>
            </w:r>
            <w:r>
              <w:rPr>
                <w:rFonts w:hint="eastAsia" w:hAnsi="宋体"/>
                <w:color w:val="auto"/>
                <w:sz w:val="24"/>
                <w:lang w:val="en-US" w:eastAsia="zh-CN"/>
              </w:rPr>
              <w:t>设备</w:t>
            </w:r>
            <w:r>
              <w:rPr>
                <w:rFonts w:hAnsi="宋体" w:eastAsia="宋体"/>
                <w:color w:val="auto"/>
                <w:sz w:val="24"/>
              </w:rPr>
              <w:t>运行时将产生噪声，设计中采取了隔声、减振等降噪措施，可有效控制噪声影响。</w:t>
            </w:r>
            <w:r>
              <w:rPr>
                <w:rFonts w:hint="eastAsia" w:hAnsi="宋体" w:eastAsia="宋体"/>
                <w:color w:val="auto"/>
                <w:sz w:val="24"/>
              </w:rPr>
              <w:t>根据《环境影响评价技术导则声环境》（HJ2.4-2021）的技术要求，本次评价采取导则上推荐的噪声预测模式</w:t>
            </w:r>
            <w:r>
              <w:rPr>
                <w:rFonts w:hint="eastAsia" w:hAnsi="宋体" w:eastAsia="宋体"/>
                <w:color w:val="auto"/>
                <w:sz w:val="24"/>
                <w:lang w:eastAsia="zh-CN"/>
              </w:rPr>
              <w:t>：</w:t>
            </w:r>
          </w:p>
          <w:p w14:paraId="6F551B33">
            <w:pPr>
              <w:spacing w:line="500" w:lineRule="atLeast"/>
              <w:ind w:left="523"/>
              <w:rPr>
                <w:snapToGrid w:val="0"/>
                <w:color w:val="auto"/>
                <w:kern w:val="0"/>
                <w:sz w:val="24"/>
              </w:rPr>
            </w:pPr>
            <w:r>
              <w:rPr>
                <w:snapToGrid w:val="0"/>
                <w:color w:val="auto"/>
                <w:kern w:val="0"/>
                <w:sz w:val="24"/>
              </w:rPr>
              <w:t>（1）室内声源等效室外声源声功率级计算方法</w:t>
            </w:r>
          </w:p>
          <w:p w14:paraId="597F9C42">
            <w:pPr>
              <w:spacing w:line="500" w:lineRule="atLeast"/>
              <w:ind w:left="523"/>
              <w:rPr>
                <w:color w:val="auto"/>
                <w:kern w:val="0"/>
                <w:sz w:val="24"/>
              </w:rPr>
            </w:pPr>
            <w:r>
              <w:rPr>
                <w:color w:val="auto"/>
                <w:kern w:val="0"/>
                <w:sz w:val="24"/>
              </w:rPr>
              <w:drawing>
                <wp:anchor distT="0" distB="0" distL="114300" distR="114300" simplePos="0" relativeHeight="251661312" behindDoc="0" locked="0" layoutInCell="1" allowOverlap="1">
                  <wp:simplePos x="0" y="0"/>
                  <wp:positionH relativeFrom="column">
                    <wp:posOffset>1885315</wp:posOffset>
                  </wp:positionH>
                  <wp:positionV relativeFrom="paragraph">
                    <wp:posOffset>319405</wp:posOffset>
                  </wp:positionV>
                  <wp:extent cx="2461260" cy="434340"/>
                  <wp:effectExtent l="0" t="0" r="7620" b="7620"/>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18"/>
                          <a:srcRect b="6558"/>
                          <a:stretch>
                            <a:fillRect/>
                          </a:stretch>
                        </pic:blipFill>
                        <pic:spPr>
                          <a:xfrm>
                            <a:off x="0" y="0"/>
                            <a:ext cx="2461260" cy="434340"/>
                          </a:xfrm>
                          <a:prstGeom prst="rect">
                            <a:avLst/>
                          </a:prstGeom>
                          <a:noFill/>
                          <a:ln>
                            <a:noFill/>
                          </a:ln>
                        </pic:spPr>
                      </pic:pic>
                    </a:graphicData>
                  </a:graphic>
                </wp:anchor>
              </w:drawing>
            </w:r>
            <w:r>
              <w:rPr>
                <w:rFonts w:hint="eastAsia" w:ascii="宋体" w:hAnsi="宋体" w:cs="宋体"/>
                <w:color w:val="auto"/>
                <w:spacing w:val="4"/>
                <w:sz w:val="24"/>
              </w:rPr>
              <w:t>①</w:t>
            </w:r>
            <w:r>
              <w:rPr>
                <w:color w:val="auto"/>
                <w:spacing w:val="4"/>
                <w:sz w:val="24"/>
              </w:rPr>
              <w:t xml:space="preserve">计算算某一室内声源靠近围护结构处产生的倍频带声压级或 </w:t>
            </w:r>
            <w:r>
              <w:rPr>
                <w:color w:val="auto"/>
                <w:sz w:val="24"/>
              </w:rPr>
              <w:t>A</w:t>
            </w:r>
            <w:r>
              <w:rPr>
                <w:color w:val="auto"/>
                <w:spacing w:val="4"/>
                <w:sz w:val="24"/>
              </w:rPr>
              <w:t xml:space="preserve"> 声级</w:t>
            </w:r>
            <w:r>
              <w:rPr>
                <w:color w:val="auto"/>
                <w:spacing w:val="2"/>
                <w:sz w:val="24"/>
              </w:rPr>
              <w:t>：</w:t>
            </w:r>
          </w:p>
          <w:p w14:paraId="48233E22">
            <w:pPr>
              <w:widowControl/>
              <w:spacing w:line="500" w:lineRule="atLeast"/>
              <w:jc w:val="left"/>
              <w:rPr>
                <w:rFonts w:hint="eastAsia"/>
                <w:color w:val="auto"/>
                <w:kern w:val="0"/>
                <w:sz w:val="24"/>
              </w:rPr>
            </w:pPr>
          </w:p>
          <w:p w14:paraId="2FAFEDA8">
            <w:pPr>
              <w:tabs>
                <w:tab w:val="left" w:pos="-160"/>
              </w:tabs>
              <w:spacing w:line="500" w:lineRule="atLeast"/>
              <w:ind w:firstLine="480" w:firstLineChars="200"/>
              <w:rPr>
                <w:snapToGrid w:val="0"/>
                <w:color w:val="auto"/>
                <w:kern w:val="0"/>
                <w:sz w:val="24"/>
              </w:rPr>
            </w:pPr>
            <w:r>
              <w:rPr>
                <w:snapToGrid w:val="0"/>
                <w:color w:val="auto"/>
                <w:kern w:val="0"/>
                <w:sz w:val="24"/>
              </w:rPr>
              <w:t xml:space="preserve">式中： </w:t>
            </w:r>
            <w:r>
              <w:rPr>
                <w:i/>
                <w:iCs/>
                <w:snapToGrid w:val="0"/>
                <w:color w:val="auto"/>
                <w:kern w:val="0"/>
                <w:sz w:val="24"/>
              </w:rPr>
              <w:t>L</w:t>
            </w:r>
            <w:r>
              <w:rPr>
                <w:i/>
                <w:iCs/>
                <w:snapToGrid w:val="0"/>
                <w:color w:val="auto"/>
                <w:kern w:val="0"/>
                <w:sz w:val="24"/>
                <w:vertAlign w:val="subscript"/>
              </w:rPr>
              <w:t>p1</w:t>
            </w:r>
            <w:r>
              <w:rPr>
                <w:snapToGrid w:val="0"/>
                <w:color w:val="auto"/>
                <w:kern w:val="0"/>
                <w:sz w:val="24"/>
              </w:rPr>
              <w:t>——靠近开口处(或窗户) 室内某倍频带的声压级或 A 声级，dB；</w:t>
            </w:r>
          </w:p>
          <w:p w14:paraId="373E3750">
            <w:pPr>
              <w:tabs>
                <w:tab w:val="left" w:pos="-160"/>
              </w:tabs>
              <w:spacing w:line="500" w:lineRule="atLeast"/>
              <w:ind w:firstLine="480" w:firstLineChars="200"/>
              <w:rPr>
                <w:snapToGrid w:val="0"/>
                <w:color w:val="auto"/>
                <w:kern w:val="0"/>
                <w:sz w:val="24"/>
              </w:rPr>
            </w:pPr>
            <w:r>
              <w:rPr>
                <w:i/>
                <w:iCs/>
                <w:snapToGrid w:val="0"/>
                <w:color w:val="auto"/>
                <w:kern w:val="0"/>
                <w:sz w:val="24"/>
              </w:rPr>
              <w:t>L</w:t>
            </w:r>
            <w:r>
              <w:rPr>
                <w:i/>
                <w:iCs/>
                <w:snapToGrid w:val="0"/>
                <w:color w:val="auto"/>
                <w:kern w:val="0"/>
                <w:sz w:val="24"/>
                <w:vertAlign w:val="subscript"/>
              </w:rPr>
              <w:t>w</w:t>
            </w:r>
            <w:r>
              <w:rPr>
                <w:snapToGrid w:val="0"/>
                <w:color w:val="auto"/>
                <w:kern w:val="0"/>
                <w:sz w:val="24"/>
              </w:rPr>
              <w:t xml:space="preserve"> —— 点声源声功率级(A 计权或倍频带) ，dB；</w:t>
            </w:r>
          </w:p>
          <w:p w14:paraId="37F70757">
            <w:pPr>
              <w:tabs>
                <w:tab w:val="left" w:pos="-160"/>
              </w:tabs>
              <w:spacing w:line="500" w:lineRule="atLeast"/>
              <w:ind w:firstLine="480" w:firstLineChars="200"/>
              <w:rPr>
                <w:snapToGrid w:val="0"/>
                <w:color w:val="auto"/>
                <w:kern w:val="0"/>
                <w:sz w:val="24"/>
              </w:rPr>
            </w:pPr>
            <w:r>
              <w:rPr>
                <w:i/>
                <w:iCs/>
                <w:snapToGrid w:val="0"/>
                <w:color w:val="auto"/>
                <w:kern w:val="0"/>
                <w:sz w:val="24"/>
              </w:rPr>
              <w:t>Q</w:t>
            </w:r>
            <w:r>
              <w:rPr>
                <w:snapToGrid w:val="0"/>
                <w:color w:val="auto"/>
                <w:kern w:val="0"/>
                <w:sz w:val="24"/>
              </w:rPr>
              <w:t xml:space="preserve"> ——指向性因数；通常对无指向性声源，当声源放在房间中心时， Q=1；当放在一面墙的中 心时， Q=2；当放在两面墙夹角处时，Q=4；当放在三面墙夹角处时， Q=8；</w:t>
            </w:r>
          </w:p>
          <w:p w14:paraId="56C325CF">
            <w:pPr>
              <w:tabs>
                <w:tab w:val="left" w:pos="-160"/>
              </w:tabs>
              <w:spacing w:line="500" w:lineRule="atLeast"/>
              <w:ind w:firstLine="480" w:firstLineChars="200"/>
              <w:rPr>
                <w:snapToGrid w:val="0"/>
                <w:color w:val="auto"/>
                <w:kern w:val="0"/>
                <w:sz w:val="24"/>
              </w:rPr>
            </w:pPr>
            <w:r>
              <w:rPr>
                <w:i/>
                <w:iCs/>
                <w:snapToGrid w:val="0"/>
                <w:color w:val="auto"/>
                <w:kern w:val="0"/>
                <w:sz w:val="24"/>
              </w:rPr>
              <w:t>R</w:t>
            </w:r>
            <w:r>
              <w:rPr>
                <w:snapToGrid w:val="0"/>
                <w:color w:val="auto"/>
                <w:kern w:val="0"/>
                <w:sz w:val="24"/>
              </w:rPr>
              <w:t>——房间常数；R = Sa/ (1-a) ，S 为房间内表面面积， m</w:t>
            </w:r>
            <w:r>
              <w:rPr>
                <w:snapToGrid w:val="0"/>
                <w:color w:val="auto"/>
                <w:kern w:val="0"/>
                <w:sz w:val="24"/>
                <w:vertAlign w:val="superscript"/>
              </w:rPr>
              <w:t>2</w:t>
            </w:r>
            <w:r>
              <w:rPr>
                <w:snapToGrid w:val="0"/>
                <w:color w:val="auto"/>
                <w:kern w:val="0"/>
                <w:sz w:val="24"/>
              </w:rPr>
              <w:t xml:space="preserve"> ；α 为平均吸声系数；</w:t>
            </w:r>
          </w:p>
          <w:p w14:paraId="180AF008">
            <w:pPr>
              <w:tabs>
                <w:tab w:val="left" w:pos="-160"/>
              </w:tabs>
              <w:spacing w:line="500" w:lineRule="atLeast"/>
              <w:ind w:firstLine="480" w:firstLineChars="200"/>
              <w:rPr>
                <w:snapToGrid w:val="0"/>
                <w:color w:val="auto"/>
                <w:kern w:val="0"/>
                <w:sz w:val="24"/>
              </w:rPr>
            </w:pPr>
            <w:r>
              <w:rPr>
                <w:i/>
                <w:iCs/>
                <w:snapToGrid w:val="0"/>
                <w:color w:val="auto"/>
                <w:kern w:val="0"/>
                <w:sz w:val="24"/>
              </w:rPr>
              <w:t>r</w:t>
            </w:r>
            <w:r>
              <w:rPr>
                <w:snapToGrid w:val="0"/>
                <w:color w:val="auto"/>
                <w:kern w:val="0"/>
                <w:sz w:val="24"/>
              </w:rPr>
              <w:t xml:space="preserve"> ——声源到靠近围护结构某点处的距离，m。</w:t>
            </w:r>
          </w:p>
          <w:p w14:paraId="5188624C">
            <w:pPr>
              <w:tabs>
                <w:tab w:val="left" w:pos="-160"/>
              </w:tabs>
              <w:spacing w:line="500" w:lineRule="atLeast"/>
              <w:ind w:firstLine="480" w:firstLineChars="200"/>
              <w:rPr>
                <w:snapToGrid w:val="0"/>
                <w:color w:val="auto"/>
                <w:kern w:val="0"/>
                <w:sz w:val="24"/>
              </w:rPr>
            </w:pPr>
            <w:r>
              <w:rPr>
                <w:rFonts w:hint="eastAsia" w:ascii="宋体" w:hAnsi="宋体" w:cs="宋体"/>
                <w:snapToGrid w:val="0"/>
                <w:color w:val="auto"/>
                <w:kern w:val="0"/>
                <w:sz w:val="24"/>
              </w:rPr>
              <w:t>②</w:t>
            </w:r>
            <w:r>
              <w:rPr>
                <w:snapToGrid w:val="0"/>
                <w:color w:val="auto"/>
                <w:kern w:val="0"/>
                <w:sz w:val="24"/>
              </w:rPr>
              <w:t>计算出所有室内声源在围护结构处产生的 i 倍频带叠加声压级：</w:t>
            </w:r>
          </w:p>
          <w:p w14:paraId="45E061CB">
            <w:pPr>
              <w:tabs>
                <w:tab w:val="left" w:pos="-160"/>
              </w:tabs>
              <w:spacing w:line="500" w:lineRule="atLeast"/>
              <w:ind w:firstLine="480" w:firstLineChars="200"/>
              <w:rPr>
                <w:rFonts w:hint="eastAsia"/>
                <w:snapToGrid w:val="0"/>
                <w:color w:val="auto"/>
                <w:kern w:val="0"/>
                <w:sz w:val="24"/>
              </w:rPr>
            </w:pPr>
            <w:r>
              <w:rPr>
                <w:snapToGrid w:val="0"/>
                <w:color w:val="auto"/>
                <w:kern w:val="0"/>
                <w:sz w:val="24"/>
              </w:rPr>
              <w:drawing>
                <wp:anchor distT="0" distB="0" distL="114300" distR="114300" simplePos="0" relativeHeight="251662336" behindDoc="0" locked="0" layoutInCell="1" allowOverlap="1">
                  <wp:simplePos x="0" y="0"/>
                  <wp:positionH relativeFrom="column">
                    <wp:posOffset>2113280</wp:posOffset>
                  </wp:positionH>
                  <wp:positionV relativeFrom="paragraph">
                    <wp:posOffset>14605</wp:posOffset>
                  </wp:positionV>
                  <wp:extent cx="1822450" cy="426720"/>
                  <wp:effectExtent l="0" t="0" r="6350" b="0"/>
                  <wp:wrapNone/>
                  <wp:docPr id="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pic:cNvPicPr>
                            <a:picLocks noChangeAspect="1"/>
                          </pic:cNvPicPr>
                        </pic:nvPicPr>
                        <pic:blipFill>
                          <a:blip r:embed="rId19"/>
                          <a:stretch>
                            <a:fillRect/>
                          </a:stretch>
                        </pic:blipFill>
                        <pic:spPr>
                          <a:xfrm>
                            <a:off x="0" y="0"/>
                            <a:ext cx="1822450" cy="426720"/>
                          </a:xfrm>
                          <a:prstGeom prst="rect">
                            <a:avLst/>
                          </a:prstGeom>
                          <a:noFill/>
                          <a:ln>
                            <a:noFill/>
                          </a:ln>
                        </pic:spPr>
                      </pic:pic>
                    </a:graphicData>
                  </a:graphic>
                </wp:anchor>
              </w:drawing>
            </w:r>
          </w:p>
          <w:p w14:paraId="478A0649">
            <w:pPr>
              <w:spacing w:before="119" w:line="500" w:lineRule="exact"/>
              <w:ind w:left="3"/>
              <w:rPr>
                <w:color w:val="auto"/>
                <w:kern w:val="0"/>
                <w:sz w:val="24"/>
              </w:rPr>
            </w:pPr>
            <w:r>
              <w:rPr>
                <w:snapToGrid w:val="0"/>
                <w:color w:val="auto"/>
                <w:kern w:val="0"/>
                <w:sz w:val="24"/>
              </w:rPr>
              <w:t>式中：</w:t>
            </w:r>
            <w:r>
              <w:rPr>
                <w:color w:val="auto"/>
                <w:spacing w:val="-14"/>
                <w:sz w:val="24"/>
              </w:rPr>
              <w:t>式中：</w:t>
            </w:r>
            <w:r>
              <w:rPr>
                <w:i/>
                <w:iCs/>
                <w:color w:val="auto"/>
                <w:spacing w:val="-14"/>
                <w:sz w:val="24"/>
              </w:rPr>
              <w:t xml:space="preserve"> </w:t>
            </w:r>
            <w:r>
              <w:rPr>
                <w:i/>
                <w:iCs/>
                <w:color w:val="auto"/>
                <w:spacing w:val="-7"/>
                <w:position w:val="1"/>
                <w:sz w:val="24"/>
              </w:rPr>
              <w:t>L</w:t>
            </w:r>
            <w:r>
              <w:rPr>
                <w:i/>
                <w:iCs/>
                <w:color w:val="auto"/>
                <w:spacing w:val="-7"/>
                <w:position w:val="-4"/>
                <w:sz w:val="24"/>
                <w:vertAlign w:val="subscript"/>
              </w:rPr>
              <w:t>p</w:t>
            </w:r>
            <w:r>
              <w:rPr>
                <w:i/>
                <w:iCs/>
                <w:color w:val="auto"/>
                <w:spacing w:val="-8"/>
                <w:position w:val="-4"/>
                <w:sz w:val="24"/>
                <w:vertAlign w:val="subscript"/>
              </w:rPr>
              <w:t>1</w:t>
            </w:r>
            <w:r>
              <w:rPr>
                <w:i/>
                <w:iCs/>
                <w:color w:val="auto"/>
                <w:spacing w:val="-7"/>
                <w:position w:val="-4"/>
                <w:sz w:val="24"/>
                <w:vertAlign w:val="subscript"/>
              </w:rPr>
              <w:t>i</w:t>
            </w:r>
            <w:r>
              <w:rPr>
                <w:i/>
                <w:iCs/>
                <w:color w:val="auto"/>
                <w:spacing w:val="-7"/>
                <w:position w:val="-4"/>
                <w:sz w:val="24"/>
              </w:rPr>
              <w:t xml:space="preserve"> </w:t>
            </w:r>
            <w:r>
              <w:rPr>
                <w:i/>
                <w:iCs/>
                <w:color w:val="auto"/>
                <w:spacing w:val="-7"/>
                <w:sz w:val="24"/>
              </w:rPr>
              <w:t>(</w:t>
            </w:r>
            <w:r>
              <w:rPr>
                <w:i/>
                <w:iCs/>
                <w:color w:val="auto"/>
                <w:spacing w:val="-7"/>
                <w:position w:val="1"/>
                <w:sz w:val="24"/>
              </w:rPr>
              <w:t>T</w:t>
            </w:r>
            <w:r>
              <w:rPr>
                <w:i/>
                <w:iCs/>
                <w:color w:val="auto"/>
                <w:spacing w:val="-7"/>
                <w:sz w:val="24"/>
              </w:rPr>
              <w:t xml:space="preserve">) </w:t>
            </w:r>
            <w:r>
              <w:rPr>
                <w:color w:val="auto"/>
                <w:spacing w:val="-7"/>
                <w:sz w:val="24"/>
              </w:rPr>
              <w:t>——靠近围护结构处室内 N 个声源 i 倍频带的叠加声压级， dB；</w:t>
            </w:r>
          </w:p>
          <w:p w14:paraId="56013EF5">
            <w:pPr>
              <w:spacing w:before="62" w:line="500" w:lineRule="exact"/>
              <w:ind w:left="663"/>
              <w:rPr>
                <w:color w:val="auto"/>
                <w:sz w:val="24"/>
              </w:rPr>
            </w:pPr>
            <w:r>
              <w:rPr>
                <w:i/>
                <w:iCs/>
                <w:color w:val="auto"/>
                <w:position w:val="12"/>
                <w:sz w:val="24"/>
              </w:rPr>
              <w:t>L</w:t>
            </w:r>
            <w:r>
              <w:rPr>
                <w:i/>
                <w:iCs/>
                <w:color w:val="auto"/>
                <w:position w:val="7"/>
                <w:sz w:val="24"/>
                <w:vertAlign w:val="subscript"/>
              </w:rPr>
              <w:t>p</w:t>
            </w:r>
            <w:r>
              <w:rPr>
                <w:i/>
                <w:iCs/>
                <w:color w:val="auto"/>
                <w:spacing w:val="4"/>
                <w:position w:val="7"/>
                <w:sz w:val="24"/>
                <w:vertAlign w:val="subscript"/>
              </w:rPr>
              <w:t>1</w:t>
            </w:r>
            <w:r>
              <w:rPr>
                <w:i/>
                <w:iCs/>
                <w:color w:val="auto"/>
                <w:position w:val="7"/>
                <w:sz w:val="24"/>
                <w:vertAlign w:val="subscript"/>
              </w:rPr>
              <w:t>ij</w:t>
            </w:r>
            <w:r>
              <w:rPr>
                <w:color w:val="auto"/>
                <w:spacing w:val="2"/>
                <w:position w:val="7"/>
                <w:sz w:val="24"/>
                <w:vertAlign w:val="subscript"/>
              </w:rPr>
              <w:t xml:space="preserve"> </w:t>
            </w:r>
            <w:r>
              <w:rPr>
                <w:color w:val="auto"/>
                <w:spacing w:val="2"/>
                <w:position w:val="9"/>
                <w:sz w:val="24"/>
              </w:rPr>
              <w:t>——室内</w:t>
            </w:r>
            <w:r>
              <w:rPr>
                <w:color w:val="auto"/>
                <w:position w:val="9"/>
                <w:sz w:val="24"/>
              </w:rPr>
              <w:t>j</w:t>
            </w:r>
            <w:r>
              <w:rPr>
                <w:color w:val="auto"/>
                <w:spacing w:val="2"/>
                <w:position w:val="9"/>
                <w:sz w:val="24"/>
              </w:rPr>
              <w:t xml:space="preserve"> 声源 </w:t>
            </w:r>
            <w:r>
              <w:rPr>
                <w:color w:val="auto"/>
                <w:position w:val="9"/>
                <w:sz w:val="24"/>
              </w:rPr>
              <w:t>i</w:t>
            </w:r>
            <w:r>
              <w:rPr>
                <w:color w:val="auto"/>
                <w:spacing w:val="2"/>
                <w:position w:val="9"/>
                <w:sz w:val="24"/>
              </w:rPr>
              <w:t xml:space="preserve"> 倍频带的声压级，</w:t>
            </w:r>
            <w:r>
              <w:rPr>
                <w:color w:val="auto"/>
                <w:position w:val="9"/>
                <w:sz w:val="24"/>
              </w:rPr>
              <w:t>dB</w:t>
            </w:r>
            <w:r>
              <w:rPr>
                <w:color w:val="auto"/>
                <w:spacing w:val="2"/>
                <w:position w:val="9"/>
                <w:sz w:val="24"/>
              </w:rPr>
              <w:t>；</w:t>
            </w:r>
          </w:p>
          <w:p w14:paraId="6FC5ED06">
            <w:pPr>
              <w:spacing w:before="1" w:line="500" w:lineRule="exact"/>
              <w:ind w:left="665"/>
              <w:rPr>
                <w:color w:val="auto"/>
                <w:sz w:val="24"/>
              </w:rPr>
            </w:pPr>
            <w:r>
              <w:rPr>
                <w:i/>
                <w:iCs/>
                <w:color w:val="auto"/>
                <w:spacing w:val="-1"/>
                <w:sz w:val="24"/>
              </w:rPr>
              <w:t>N</w:t>
            </w:r>
            <w:r>
              <w:rPr>
                <w:color w:val="auto"/>
                <w:spacing w:val="-2"/>
                <w:sz w:val="24"/>
              </w:rPr>
              <w:t xml:space="preserve"> ——</w:t>
            </w:r>
            <w:r>
              <w:rPr>
                <w:color w:val="auto"/>
                <w:spacing w:val="-1"/>
                <w:sz w:val="24"/>
              </w:rPr>
              <w:t>室内声源总数。</w:t>
            </w:r>
          </w:p>
          <w:p w14:paraId="0BEF124E">
            <w:pPr>
              <w:tabs>
                <w:tab w:val="left" w:pos="-160"/>
              </w:tabs>
              <w:spacing w:line="500" w:lineRule="atLeast"/>
              <w:ind w:firstLine="480" w:firstLineChars="200"/>
              <w:rPr>
                <w:snapToGrid w:val="0"/>
                <w:color w:val="auto"/>
                <w:kern w:val="0"/>
                <w:sz w:val="24"/>
              </w:rPr>
            </w:pPr>
            <w:r>
              <w:rPr>
                <w:rFonts w:hint="eastAsia" w:ascii="宋体" w:hAnsi="宋体" w:cs="宋体"/>
                <w:snapToGrid w:val="0"/>
                <w:color w:val="auto"/>
                <w:kern w:val="0"/>
                <w:sz w:val="24"/>
              </w:rPr>
              <w:t>③</w:t>
            </w:r>
            <w:r>
              <w:rPr>
                <w:snapToGrid w:val="0"/>
                <w:color w:val="auto"/>
                <w:kern w:val="0"/>
                <w:sz w:val="24"/>
              </w:rPr>
              <w:t>在室内近似为扩散声场时，计算出靠近室外围护结构处的声压级：</w:t>
            </w:r>
          </w:p>
          <w:p w14:paraId="3B1EF7F1">
            <w:pPr>
              <w:tabs>
                <w:tab w:val="left" w:pos="-160"/>
              </w:tabs>
              <w:spacing w:line="500" w:lineRule="atLeast"/>
              <w:ind w:firstLine="480" w:firstLineChars="200"/>
              <w:rPr>
                <w:snapToGrid w:val="0"/>
                <w:color w:val="auto"/>
                <w:kern w:val="0"/>
                <w:sz w:val="24"/>
              </w:rPr>
            </w:pPr>
            <w:r>
              <w:rPr>
                <w:snapToGrid w:val="0"/>
                <w:color w:val="auto"/>
                <w:kern w:val="0"/>
                <w:sz w:val="24"/>
              </w:rPr>
              <w:drawing>
                <wp:anchor distT="0" distB="0" distL="114300" distR="114300" simplePos="0" relativeHeight="251663360" behindDoc="0" locked="0" layoutInCell="1" allowOverlap="1">
                  <wp:simplePos x="0" y="0"/>
                  <wp:positionH relativeFrom="column">
                    <wp:posOffset>1893570</wp:posOffset>
                  </wp:positionH>
                  <wp:positionV relativeFrom="paragraph">
                    <wp:posOffset>67945</wp:posOffset>
                  </wp:positionV>
                  <wp:extent cx="1990090" cy="281940"/>
                  <wp:effectExtent l="0" t="0" r="6350" b="762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0"/>
                          <a:stretch>
                            <a:fillRect/>
                          </a:stretch>
                        </pic:blipFill>
                        <pic:spPr>
                          <a:xfrm>
                            <a:off x="0" y="0"/>
                            <a:ext cx="1990090" cy="281940"/>
                          </a:xfrm>
                          <a:prstGeom prst="rect">
                            <a:avLst/>
                          </a:prstGeom>
                          <a:noFill/>
                          <a:ln>
                            <a:noFill/>
                          </a:ln>
                        </pic:spPr>
                      </pic:pic>
                    </a:graphicData>
                  </a:graphic>
                </wp:anchor>
              </w:drawing>
            </w:r>
          </w:p>
          <w:p w14:paraId="299EFAF5">
            <w:pPr>
              <w:spacing w:before="71" w:line="500" w:lineRule="exact"/>
              <w:ind w:left="3"/>
              <w:rPr>
                <w:color w:val="auto"/>
                <w:kern w:val="0"/>
                <w:sz w:val="24"/>
              </w:rPr>
            </w:pPr>
            <w:r>
              <w:rPr>
                <w:color w:val="auto"/>
                <w:spacing w:val="-6"/>
                <w:sz w:val="24"/>
              </w:rPr>
              <w:t>式中：</w:t>
            </w:r>
            <w:r>
              <w:rPr>
                <w:i/>
                <w:iCs/>
                <w:color w:val="auto"/>
                <w:spacing w:val="-3"/>
                <w:sz w:val="24"/>
              </w:rPr>
              <w:t>L</w:t>
            </w:r>
            <w:r>
              <w:rPr>
                <w:i/>
                <w:iCs/>
                <w:color w:val="auto"/>
                <w:spacing w:val="-3"/>
                <w:position w:val="-5"/>
                <w:sz w:val="24"/>
                <w:vertAlign w:val="subscript"/>
              </w:rPr>
              <w:t>p</w:t>
            </w:r>
            <w:r>
              <w:rPr>
                <w:color w:val="auto"/>
                <w:spacing w:val="-6"/>
                <w:position w:val="-5"/>
                <w:sz w:val="24"/>
                <w:vertAlign w:val="subscript"/>
              </w:rPr>
              <w:t>2</w:t>
            </w:r>
            <w:r>
              <w:rPr>
                <w:i/>
                <w:iCs/>
                <w:color w:val="auto"/>
                <w:spacing w:val="-3"/>
                <w:position w:val="-5"/>
                <w:sz w:val="24"/>
                <w:vertAlign w:val="subscript"/>
              </w:rPr>
              <w:t>i</w:t>
            </w:r>
            <w:r>
              <w:rPr>
                <w:color w:val="auto"/>
                <w:spacing w:val="-6"/>
                <w:position w:val="-5"/>
                <w:sz w:val="24"/>
                <w:vertAlign w:val="subscript"/>
              </w:rPr>
              <w:t xml:space="preserve"> </w:t>
            </w:r>
            <w:r>
              <w:rPr>
                <w:color w:val="auto"/>
                <w:spacing w:val="-6"/>
                <w:sz w:val="24"/>
              </w:rPr>
              <w:t>(</w:t>
            </w:r>
            <w:r>
              <w:rPr>
                <w:i/>
                <w:iCs/>
                <w:color w:val="auto"/>
                <w:spacing w:val="-3"/>
                <w:sz w:val="24"/>
              </w:rPr>
              <w:t>T</w:t>
            </w:r>
            <w:r>
              <w:rPr>
                <w:color w:val="auto"/>
                <w:spacing w:val="-6"/>
                <w:sz w:val="24"/>
              </w:rPr>
              <w:t>)</w:t>
            </w:r>
            <w:r>
              <w:rPr>
                <w:color w:val="auto"/>
                <w:spacing w:val="-3"/>
                <w:sz w:val="24"/>
              </w:rPr>
              <w:t xml:space="preserve"> ——靠近围护结构处室外 </w:t>
            </w:r>
            <w:r>
              <w:rPr>
                <w:i/>
                <w:iCs/>
                <w:color w:val="auto"/>
                <w:spacing w:val="-3"/>
                <w:sz w:val="24"/>
              </w:rPr>
              <w:t>N</w:t>
            </w:r>
            <w:r>
              <w:rPr>
                <w:color w:val="auto"/>
                <w:spacing w:val="-3"/>
                <w:sz w:val="24"/>
              </w:rPr>
              <w:t xml:space="preserve"> 个声源 </w:t>
            </w:r>
            <w:r>
              <w:rPr>
                <w:i/>
                <w:iCs/>
                <w:color w:val="auto"/>
                <w:spacing w:val="-3"/>
                <w:sz w:val="24"/>
              </w:rPr>
              <w:t>i</w:t>
            </w:r>
            <w:r>
              <w:rPr>
                <w:color w:val="auto"/>
                <w:spacing w:val="-3"/>
                <w:sz w:val="24"/>
              </w:rPr>
              <w:t xml:space="preserve"> 倍频带的叠加声压级， dB；</w:t>
            </w:r>
          </w:p>
          <w:p w14:paraId="0E3A252C">
            <w:pPr>
              <w:spacing w:before="101" w:line="500" w:lineRule="exact"/>
              <w:ind w:left="658"/>
              <w:rPr>
                <w:color w:val="auto"/>
                <w:sz w:val="24"/>
              </w:rPr>
            </w:pPr>
            <w:r>
              <w:rPr>
                <w:i/>
                <w:iCs/>
                <w:color w:val="auto"/>
                <w:spacing w:val="-6"/>
                <w:position w:val="1"/>
                <w:sz w:val="24"/>
              </w:rPr>
              <w:t>L</w:t>
            </w:r>
            <w:r>
              <w:rPr>
                <w:i/>
                <w:iCs/>
                <w:color w:val="auto"/>
                <w:spacing w:val="-6"/>
                <w:position w:val="-4"/>
                <w:sz w:val="24"/>
                <w:vertAlign w:val="subscript"/>
              </w:rPr>
              <w:t>p</w:t>
            </w:r>
            <w:r>
              <w:rPr>
                <w:color w:val="auto"/>
                <w:spacing w:val="-12"/>
                <w:position w:val="-4"/>
                <w:sz w:val="24"/>
                <w:vertAlign w:val="subscript"/>
              </w:rPr>
              <w:t>1</w:t>
            </w:r>
            <w:r>
              <w:rPr>
                <w:i/>
                <w:iCs/>
                <w:color w:val="auto"/>
                <w:spacing w:val="-6"/>
                <w:position w:val="-4"/>
                <w:sz w:val="24"/>
                <w:vertAlign w:val="subscript"/>
              </w:rPr>
              <w:t>i</w:t>
            </w:r>
            <w:r>
              <w:rPr>
                <w:color w:val="auto"/>
                <w:spacing w:val="-9"/>
                <w:position w:val="-4"/>
                <w:sz w:val="24"/>
              </w:rPr>
              <w:t xml:space="preserve"> </w:t>
            </w:r>
            <w:r>
              <w:rPr>
                <w:color w:val="auto"/>
                <w:spacing w:val="-6"/>
                <w:sz w:val="24"/>
              </w:rPr>
              <w:t>(</w:t>
            </w:r>
            <w:r>
              <w:rPr>
                <w:i/>
                <w:iCs/>
                <w:color w:val="auto"/>
                <w:spacing w:val="-6"/>
                <w:position w:val="1"/>
                <w:sz w:val="24"/>
              </w:rPr>
              <w:t>T</w:t>
            </w:r>
            <w:r>
              <w:rPr>
                <w:color w:val="auto"/>
                <w:spacing w:val="-6"/>
                <w:sz w:val="24"/>
              </w:rPr>
              <w:t xml:space="preserve">) ——靠近围护结构处室内 </w:t>
            </w:r>
            <w:r>
              <w:rPr>
                <w:i/>
                <w:iCs/>
                <w:color w:val="auto"/>
                <w:spacing w:val="-6"/>
                <w:sz w:val="24"/>
              </w:rPr>
              <w:t>N</w:t>
            </w:r>
            <w:r>
              <w:rPr>
                <w:color w:val="auto"/>
                <w:spacing w:val="-6"/>
                <w:sz w:val="24"/>
              </w:rPr>
              <w:t xml:space="preserve"> 个声源 </w:t>
            </w:r>
            <w:r>
              <w:rPr>
                <w:i/>
                <w:iCs/>
                <w:color w:val="auto"/>
                <w:spacing w:val="-6"/>
                <w:sz w:val="24"/>
              </w:rPr>
              <w:t>i</w:t>
            </w:r>
            <w:r>
              <w:rPr>
                <w:color w:val="auto"/>
                <w:spacing w:val="-6"/>
                <w:sz w:val="24"/>
              </w:rPr>
              <w:t xml:space="preserve"> 倍频带的叠加声压级， dB；</w:t>
            </w:r>
          </w:p>
          <w:p w14:paraId="2AE10DD7">
            <w:pPr>
              <w:spacing w:before="17" w:line="500" w:lineRule="exact"/>
              <w:ind w:left="661"/>
              <w:rPr>
                <w:color w:val="auto"/>
                <w:sz w:val="24"/>
              </w:rPr>
            </w:pPr>
            <w:r>
              <w:rPr>
                <w:i/>
                <w:iCs/>
                <w:color w:val="auto"/>
                <w:spacing w:val="-5"/>
                <w:position w:val="2"/>
                <w:sz w:val="24"/>
              </w:rPr>
              <w:t>TL</w:t>
            </w:r>
            <w:r>
              <w:rPr>
                <w:i/>
                <w:iCs/>
                <w:color w:val="auto"/>
                <w:spacing w:val="-5"/>
                <w:position w:val="-2"/>
                <w:sz w:val="24"/>
                <w:vertAlign w:val="subscript"/>
              </w:rPr>
              <w:t>i</w:t>
            </w:r>
            <w:r>
              <w:rPr>
                <w:color w:val="auto"/>
                <w:spacing w:val="-10"/>
                <w:position w:val="-2"/>
                <w:sz w:val="24"/>
              </w:rPr>
              <w:t xml:space="preserve"> </w:t>
            </w:r>
            <w:r>
              <w:rPr>
                <w:color w:val="auto"/>
                <w:spacing w:val="-10"/>
                <w:sz w:val="24"/>
              </w:rPr>
              <w:t>——</w:t>
            </w:r>
            <w:r>
              <w:rPr>
                <w:color w:val="auto"/>
                <w:spacing w:val="-5"/>
                <w:sz w:val="24"/>
              </w:rPr>
              <w:t xml:space="preserve"> 围护结构 </w:t>
            </w:r>
            <w:r>
              <w:rPr>
                <w:i/>
                <w:iCs/>
                <w:color w:val="auto"/>
                <w:spacing w:val="-5"/>
                <w:sz w:val="24"/>
              </w:rPr>
              <w:t>i</w:t>
            </w:r>
            <w:r>
              <w:rPr>
                <w:color w:val="auto"/>
                <w:spacing w:val="-5"/>
                <w:sz w:val="24"/>
              </w:rPr>
              <w:t xml:space="preserve"> 倍频带的隔声量，dB。</w:t>
            </w:r>
          </w:p>
          <w:p w14:paraId="26F3C794">
            <w:pPr>
              <w:spacing w:before="11" w:line="500" w:lineRule="atLeast"/>
              <w:ind w:left="6" w:right="108" w:firstLine="414"/>
              <w:rPr>
                <w:color w:val="auto"/>
                <w:sz w:val="24"/>
              </w:rPr>
            </w:pPr>
            <w:r>
              <w:rPr>
                <w:rFonts w:hint="eastAsia" w:ascii="宋体" w:hAnsi="宋体" w:cs="宋体"/>
                <w:color w:val="auto"/>
                <w:spacing w:val="1"/>
                <w:sz w:val="24"/>
              </w:rPr>
              <w:t>④</w:t>
            </w:r>
            <w:r>
              <w:rPr>
                <w:color w:val="auto"/>
                <w:spacing w:val="1"/>
                <w:sz w:val="24"/>
              </w:rPr>
              <w:t>将室外声源</w:t>
            </w:r>
            <w:r>
              <w:rPr>
                <w:color w:val="auto"/>
                <w:sz w:val="24"/>
              </w:rPr>
              <w:t xml:space="preserve">的声压级和透过面积换算成等效的室外声源，计算出中心位置位于透 </w:t>
            </w:r>
            <w:r>
              <w:rPr>
                <w:color w:val="auto"/>
                <w:spacing w:val="14"/>
                <w:sz w:val="24"/>
              </w:rPr>
              <w:t>声</w:t>
            </w:r>
            <w:r>
              <w:rPr>
                <w:color w:val="auto"/>
                <w:spacing w:val="9"/>
                <w:sz w:val="24"/>
              </w:rPr>
              <w:t>面积(</w:t>
            </w:r>
            <w:r>
              <w:rPr>
                <w:i/>
                <w:iCs/>
                <w:color w:val="auto"/>
                <w:sz w:val="24"/>
              </w:rPr>
              <w:t>S</w:t>
            </w:r>
            <w:r>
              <w:rPr>
                <w:color w:val="auto"/>
                <w:spacing w:val="9"/>
                <w:sz w:val="24"/>
              </w:rPr>
              <w:t>)处的等效声源的倍频带声功率级。</w:t>
            </w:r>
          </w:p>
          <w:p w14:paraId="077AE789">
            <w:pPr>
              <w:tabs>
                <w:tab w:val="left" w:pos="-160"/>
              </w:tabs>
              <w:spacing w:line="500" w:lineRule="atLeast"/>
              <w:ind w:firstLine="480" w:firstLineChars="200"/>
              <w:rPr>
                <w:snapToGrid w:val="0"/>
                <w:color w:val="auto"/>
                <w:kern w:val="0"/>
                <w:sz w:val="24"/>
              </w:rPr>
            </w:pPr>
            <w:r>
              <w:rPr>
                <w:snapToGrid w:val="0"/>
                <w:color w:val="auto"/>
                <w:kern w:val="0"/>
                <w:sz w:val="24"/>
              </w:rPr>
              <w:drawing>
                <wp:anchor distT="0" distB="0" distL="114300" distR="114300" simplePos="0" relativeHeight="251664384" behindDoc="0" locked="0" layoutInCell="1" allowOverlap="1">
                  <wp:simplePos x="0" y="0"/>
                  <wp:positionH relativeFrom="column">
                    <wp:posOffset>1870710</wp:posOffset>
                  </wp:positionH>
                  <wp:positionV relativeFrom="paragraph">
                    <wp:posOffset>80010</wp:posOffset>
                  </wp:positionV>
                  <wp:extent cx="2432050" cy="289560"/>
                  <wp:effectExtent l="0" t="0" r="6350" b="0"/>
                  <wp:wrapNone/>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1"/>
                          <pic:cNvPicPr>
                            <a:picLocks noChangeAspect="1"/>
                          </pic:cNvPicPr>
                        </pic:nvPicPr>
                        <pic:blipFill>
                          <a:blip r:embed="rId21"/>
                          <a:stretch>
                            <a:fillRect/>
                          </a:stretch>
                        </pic:blipFill>
                        <pic:spPr>
                          <a:xfrm>
                            <a:off x="0" y="0"/>
                            <a:ext cx="2432050" cy="289560"/>
                          </a:xfrm>
                          <a:prstGeom prst="rect">
                            <a:avLst/>
                          </a:prstGeom>
                          <a:noFill/>
                          <a:ln>
                            <a:noFill/>
                          </a:ln>
                        </pic:spPr>
                      </pic:pic>
                    </a:graphicData>
                  </a:graphic>
                </wp:anchor>
              </w:drawing>
            </w:r>
          </w:p>
          <w:p w14:paraId="3EC62D9A">
            <w:pPr>
              <w:spacing w:line="500" w:lineRule="atLeast"/>
              <w:ind w:left="3"/>
              <w:rPr>
                <w:color w:val="auto"/>
                <w:kern w:val="0"/>
                <w:sz w:val="24"/>
              </w:rPr>
            </w:pPr>
            <w:r>
              <w:rPr>
                <w:color w:val="auto"/>
                <w:spacing w:val="2"/>
                <w:sz w:val="24"/>
              </w:rPr>
              <w:t xml:space="preserve">式中： </w:t>
            </w:r>
            <w:r>
              <w:rPr>
                <w:i/>
                <w:iCs/>
                <w:color w:val="auto"/>
                <w:sz w:val="24"/>
              </w:rPr>
              <w:t>L</w:t>
            </w:r>
            <w:r>
              <w:rPr>
                <w:i/>
                <w:iCs/>
                <w:color w:val="auto"/>
                <w:position w:val="-1"/>
                <w:sz w:val="24"/>
                <w:vertAlign w:val="subscript"/>
              </w:rPr>
              <w:t>w</w:t>
            </w:r>
            <w:r>
              <w:rPr>
                <w:color w:val="auto"/>
                <w:spacing w:val="2"/>
                <w:position w:val="-1"/>
                <w:sz w:val="24"/>
              </w:rPr>
              <w:t xml:space="preserve"> </w:t>
            </w:r>
            <w:r>
              <w:rPr>
                <w:color w:val="auto"/>
                <w:spacing w:val="2"/>
                <w:sz w:val="24"/>
              </w:rPr>
              <w:t>—— 中心位置位</w:t>
            </w:r>
            <w:r>
              <w:rPr>
                <w:color w:val="auto"/>
                <w:spacing w:val="1"/>
                <w:sz w:val="24"/>
              </w:rPr>
              <w:t>于透声面积(</w:t>
            </w:r>
            <w:r>
              <w:rPr>
                <w:i/>
                <w:iCs/>
                <w:color w:val="auto"/>
                <w:sz w:val="24"/>
              </w:rPr>
              <w:t>S</w:t>
            </w:r>
            <w:r>
              <w:rPr>
                <w:color w:val="auto"/>
                <w:spacing w:val="1"/>
                <w:sz w:val="24"/>
              </w:rPr>
              <w:t>)处的等效声源的倍频带声功率级，</w:t>
            </w:r>
            <w:r>
              <w:rPr>
                <w:color w:val="auto"/>
                <w:sz w:val="24"/>
              </w:rPr>
              <w:t>dB</w:t>
            </w:r>
            <w:r>
              <w:rPr>
                <w:color w:val="auto"/>
                <w:spacing w:val="1"/>
                <w:sz w:val="24"/>
              </w:rPr>
              <w:t>；</w:t>
            </w:r>
          </w:p>
          <w:p w14:paraId="5F17AF41">
            <w:pPr>
              <w:spacing w:line="500" w:lineRule="atLeast"/>
              <w:ind w:left="615"/>
              <w:rPr>
                <w:color w:val="auto"/>
                <w:sz w:val="24"/>
              </w:rPr>
            </w:pPr>
            <w:r>
              <w:rPr>
                <w:i/>
                <w:iCs/>
                <w:color w:val="auto"/>
                <w:spacing w:val="-3"/>
                <w:sz w:val="24"/>
              </w:rPr>
              <w:t>L</w:t>
            </w:r>
            <w:r>
              <w:rPr>
                <w:i/>
                <w:iCs/>
                <w:color w:val="auto"/>
                <w:spacing w:val="-3"/>
                <w:position w:val="-2"/>
                <w:sz w:val="24"/>
                <w:vertAlign w:val="subscript"/>
              </w:rPr>
              <w:t>p</w:t>
            </w:r>
            <w:r>
              <w:rPr>
                <w:color w:val="auto"/>
                <w:spacing w:val="-3"/>
                <w:position w:val="-2"/>
                <w:sz w:val="24"/>
                <w:vertAlign w:val="subscript"/>
              </w:rPr>
              <w:t>2</w:t>
            </w:r>
            <w:r>
              <w:rPr>
                <w:color w:val="auto"/>
                <w:spacing w:val="-3"/>
                <w:sz w:val="24"/>
              </w:rPr>
              <w:t>(</w:t>
            </w:r>
            <w:r>
              <w:rPr>
                <w:i/>
                <w:iCs/>
                <w:color w:val="auto"/>
                <w:spacing w:val="-3"/>
                <w:sz w:val="24"/>
              </w:rPr>
              <w:t>T</w:t>
            </w:r>
            <w:r>
              <w:rPr>
                <w:color w:val="auto"/>
                <w:spacing w:val="-3"/>
                <w:sz w:val="24"/>
              </w:rPr>
              <w:t>)——靠近围护结构处室外声源的声压级， dB；</w:t>
            </w:r>
          </w:p>
          <w:p w14:paraId="0C55FECD">
            <w:pPr>
              <w:spacing w:line="500" w:lineRule="atLeast"/>
              <w:ind w:left="623"/>
              <w:rPr>
                <w:color w:val="auto"/>
                <w:sz w:val="24"/>
              </w:rPr>
            </w:pPr>
            <w:r>
              <w:rPr>
                <w:i/>
                <w:iCs/>
                <w:color w:val="auto"/>
                <w:sz w:val="24"/>
              </w:rPr>
              <w:t>S</w:t>
            </w:r>
            <w:r>
              <w:rPr>
                <w:color w:val="auto"/>
                <w:spacing w:val="1"/>
                <w:sz w:val="24"/>
              </w:rPr>
              <w:t>——</w:t>
            </w:r>
            <w:r>
              <w:rPr>
                <w:color w:val="auto"/>
                <w:sz w:val="24"/>
              </w:rPr>
              <w:t>透声面积，</w:t>
            </w:r>
            <w:r>
              <w:rPr>
                <w:rFonts w:hint="eastAsia"/>
                <w:color w:val="auto"/>
                <w:sz w:val="24"/>
              </w:rPr>
              <w:t>m</w:t>
            </w:r>
            <w:r>
              <w:rPr>
                <w:rFonts w:hint="eastAsia"/>
                <w:color w:val="auto"/>
                <w:sz w:val="24"/>
                <w:vertAlign w:val="superscript"/>
              </w:rPr>
              <w:t>2</w:t>
            </w:r>
            <w:r>
              <w:rPr>
                <w:color w:val="auto"/>
                <w:sz w:val="24"/>
              </w:rPr>
              <w:t>。</w:t>
            </w:r>
          </w:p>
          <w:p w14:paraId="22C54BF6">
            <w:pPr>
              <w:spacing w:line="500" w:lineRule="atLeast"/>
              <w:ind w:left="6" w:firstLine="480" w:firstLineChars="200"/>
              <w:rPr>
                <w:color w:val="auto"/>
                <w:sz w:val="24"/>
              </w:rPr>
            </w:pPr>
            <w:r>
              <w:rPr>
                <w:color w:val="auto"/>
                <w:sz w:val="24"/>
              </w:rPr>
              <w:t>（</w:t>
            </w:r>
            <w:r>
              <w:rPr>
                <w:snapToGrid w:val="0"/>
                <w:color w:val="auto"/>
                <w:kern w:val="0"/>
                <w:sz w:val="24"/>
              </w:rPr>
              <w:t>2）户外声传播的衰减</w:t>
            </w:r>
          </w:p>
          <w:p w14:paraId="2A3AD2F6">
            <w:pPr>
              <w:spacing w:before="72" w:beforeLines="30" w:after="72" w:afterLines="30" w:line="500" w:lineRule="atLeast"/>
              <w:jc w:val="center"/>
              <w:rPr>
                <w:i/>
                <w:iCs/>
                <w:color w:val="auto"/>
                <w:sz w:val="24"/>
                <w:lang w:val="fr-FR"/>
              </w:rPr>
            </w:pPr>
            <w:r>
              <w:rPr>
                <w:i/>
                <w:iCs/>
                <w:color w:val="auto"/>
                <w:sz w:val="24"/>
                <w:lang w:val="fr-FR"/>
              </w:rPr>
              <w:t>L</w:t>
            </w:r>
            <w:r>
              <w:rPr>
                <w:i/>
                <w:iCs/>
                <w:color w:val="auto"/>
                <w:sz w:val="24"/>
                <w:vertAlign w:val="subscript"/>
                <w:lang w:val="fr-FR"/>
              </w:rPr>
              <w:t>p</w:t>
            </w:r>
            <w:r>
              <w:rPr>
                <w:i/>
                <w:iCs/>
                <w:color w:val="auto"/>
                <w:sz w:val="24"/>
                <w:lang w:val="fr-FR"/>
              </w:rPr>
              <w:t>(r)= L</w:t>
            </w:r>
            <w:r>
              <w:rPr>
                <w:i/>
                <w:iCs/>
                <w:color w:val="auto"/>
                <w:sz w:val="24"/>
                <w:vertAlign w:val="subscript"/>
                <w:lang w:val="fr-FR"/>
              </w:rPr>
              <w:t>p</w:t>
            </w:r>
            <w:r>
              <w:rPr>
                <w:i/>
                <w:iCs/>
                <w:color w:val="auto"/>
                <w:sz w:val="24"/>
                <w:lang w:val="fr-FR"/>
              </w:rPr>
              <w:t>(r</w:t>
            </w:r>
            <w:r>
              <w:rPr>
                <w:i/>
                <w:iCs/>
                <w:color w:val="auto"/>
                <w:sz w:val="24"/>
                <w:vertAlign w:val="subscript"/>
                <w:lang w:val="fr-FR"/>
              </w:rPr>
              <w:t>0</w:t>
            </w:r>
            <w:r>
              <w:rPr>
                <w:i/>
                <w:iCs/>
                <w:color w:val="auto"/>
                <w:sz w:val="24"/>
                <w:lang w:val="fr-FR"/>
              </w:rPr>
              <w:t>) -20Lg(r/r</w:t>
            </w:r>
            <w:r>
              <w:rPr>
                <w:i/>
                <w:iCs/>
                <w:color w:val="auto"/>
                <w:sz w:val="24"/>
                <w:vertAlign w:val="subscript"/>
                <w:lang w:val="fr-FR"/>
              </w:rPr>
              <w:t>0</w:t>
            </w:r>
            <w:r>
              <w:rPr>
                <w:i/>
                <w:iCs/>
                <w:color w:val="auto"/>
                <w:sz w:val="24"/>
                <w:lang w:val="fr-FR"/>
              </w:rPr>
              <w:t>)</w:t>
            </w:r>
          </w:p>
          <w:p w14:paraId="789411A7">
            <w:pPr>
              <w:spacing w:line="500" w:lineRule="atLeast"/>
              <w:ind w:firstLine="480" w:firstLineChars="200"/>
              <w:rPr>
                <w:color w:val="auto"/>
                <w:sz w:val="24"/>
              </w:rPr>
            </w:pPr>
            <w:r>
              <w:rPr>
                <w:color w:val="auto"/>
                <w:sz w:val="24"/>
              </w:rPr>
              <w:t>式中：</w:t>
            </w:r>
            <w:r>
              <w:rPr>
                <w:i/>
                <w:iCs/>
                <w:color w:val="auto"/>
                <w:sz w:val="24"/>
                <w:lang w:val="fr-FR"/>
              </w:rPr>
              <w:t>L</w:t>
            </w:r>
            <w:r>
              <w:rPr>
                <w:i/>
                <w:iCs/>
                <w:color w:val="auto"/>
                <w:sz w:val="24"/>
                <w:vertAlign w:val="subscript"/>
                <w:lang w:val="fr-FR"/>
              </w:rPr>
              <w:t>p</w:t>
            </w:r>
            <w:r>
              <w:rPr>
                <w:i/>
                <w:iCs/>
                <w:color w:val="auto"/>
                <w:sz w:val="24"/>
                <w:lang w:val="fr-FR"/>
              </w:rPr>
              <w:t>(r)</w:t>
            </w:r>
            <w:r>
              <w:rPr>
                <w:color w:val="auto"/>
                <w:sz w:val="24"/>
              </w:rPr>
              <w:t>—— 预测点处声压级，dB；</w:t>
            </w:r>
          </w:p>
          <w:p w14:paraId="77DD837F">
            <w:pPr>
              <w:spacing w:line="500" w:lineRule="atLeast"/>
              <w:ind w:firstLine="480" w:firstLineChars="200"/>
              <w:rPr>
                <w:color w:val="auto"/>
                <w:sz w:val="24"/>
              </w:rPr>
            </w:pPr>
            <w:r>
              <w:rPr>
                <w:i/>
                <w:iCs/>
                <w:color w:val="auto"/>
                <w:sz w:val="24"/>
                <w:lang w:val="fr-FR"/>
              </w:rPr>
              <w:t>L</w:t>
            </w:r>
            <w:r>
              <w:rPr>
                <w:i/>
                <w:iCs/>
                <w:color w:val="auto"/>
                <w:sz w:val="24"/>
                <w:vertAlign w:val="subscript"/>
                <w:lang w:val="fr-FR"/>
              </w:rPr>
              <w:t>p</w:t>
            </w:r>
            <w:r>
              <w:rPr>
                <w:i/>
                <w:iCs/>
                <w:color w:val="auto"/>
                <w:sz w:val="24"/>
                <w:lang w:val="fr-FR"/>
              </w:rPr>
              <w:t>(r</w:t>
            </w:r>
            <w:r>
              <w:rPr>
                <w:i/>
                <w:iCs/>
                <w:color w:val="auto"/>
                <w:sz w:val="24"/>
                <w:vertAlign w:val="subscript"/>
                <w:lang w:val="fr-FR"/>
              </w:rPr>
              <w:t>0</w:t>
            </w:r>
            <w:r>
              <w:rPr>
                <w:i/>
                <w:iCs/>
                <w:color w:val="auto"/>
                <w:sz w:val="24"/>
                <w:lang w:val="fr-FR"/>
              </w:rPr>
              <w:t>)</w:t>
            </w:r>
            <w:r>
              <w:rPr>
                <w:color w:val="auto"/>
                <w:sz w:val="24"/>
              </w:rPr>
              <w:t xml:space="preserve"> —— 参考位置</w:t>
            </w:r>
            <w:r>
              <w:rPr>
                <w:i/>
                <w:iCs/>
                <w:color w:val="auto"/>
                <w:sz w:val="24"/>
                <w:lang w:val="fr-FR"/>
              </w:rPr>
              <w:t>r</w:t>
            </w:r>
            <w:r>
              <w:rPr>
                <w:i/>
                <w:iCs/>
                <w:color w:val="auto"/>
                <w:sz w:val="24"/>
                <w:vertAlign w:val="subscript"/>
                <w:lang w:val="fr-FR"/>
              </w:rPr>
              <w:t>0</w:t>
            </w:r>
            <w:r>
              <w:rPr>
                <w:color w:val="auto"/>
                <w:sz w:val="24"/>
                <w:lang w:val="fr-FR"/>
              </w:rPr>
              <w:t>处的</w:t>
            </w:r>
            <w:r>
              <w:rPr>
                <w:color w:val="auto"/>
                <w:sz w:val="24"/>
              </w:rPr>
              <w:t>声压级，dB；</w:t>
            </w:r>
          </w:p>
          <w:p w14:paraId="0E3D9330">
            <w:pPr>
              <w:spacing w:line="500" w:lineRule="atLeast"/>
              <w:ind w:firstLine="480" w:firstLineChars="200"/>
              <w:rPr>
                <w:color w:val="auto"/>
                <w:sz w:val="24"/>
              </w:rPr>
            </w:pPr>
            <w:r>
              <w:rPr>
                <w:i/>
                <w:color w:val="auto"/>
                <w:sz w:val="24"/>
              </w:rPr>
              <w:t>r</w:t>
            </w:r>
            <w:r>
              <w:rPr>
                <w:color w:val="auto"/>
                <w:sz w:val="24"/>
              </w:rPr>
              <w:t xml:space="preserve"> —— 预测点距声源的距离，m；</w:t>
            </w:r>
          </w:p>
          <w:p w14:paraId="69822680">
            <w:pPr>
              <w:spacing w:line="500" w:lineRule="atLeast"/>
              <w:ind w:firstLine="480" w:firstLineChars="200"/>
              <w:rPr>
                <w:color w:val="auto"/>
                <w:sz w:val="24"/>
              </w:rPr>
            </w:pPr>
            <w:r>
              <w:rPr>
                <w:i/>
                <w:iCs/>
                <w:color w:val="auto"/>
                <w:sz w:val="24"/>
                <w:lang w:val="fr-FR"/>
              </w:rPr>
              <w:t>r</w:t>
            </w:r>
            <w:r>
              <w:rPr>
                <w:i/>
                <w:iCs/>
                <w:color w:val="auto"/>
                <w:sz w:val="24"/>
                <w:vertAlign w:val="subscript"/>
                <w:lang w:val="fr-FR"/>
              </w:rPr>
              <w:t>0</w:t>
            </w:r>
            <w:r>
              <w:rPr>
                <w:color w:val="auto"/>
                <w:sz w:val="24"/>
              </w:rPr>
              <w:t xml:space="preserve"> —— 参考位置距声源的距离，m。</w:t>
            </w:r>
          </w:p>
          <w:p w14:paraId="09A102AB">
            <w:pPr>
              <w:spacing w:line="500" w:lineRule="atLeast"/>
              <w:ind w:firstLine="480" w:firstLineChars="200"/>
              <w:rPr>
                <w:color w:val="auto"/>
                <w:sz w:val="24"/>
              </w:rPr>
            </w:pPr>
            <w:r>
              <w:rPr>
                <w:bCs/>
                <w:color w:val="auto"/>
                <w:sz w:val="24"/>
                <w:lang w:val="en-US" w:eastAsia="zh-CN"/>
              </w:rPr>
              <w:drawing>
                <wp:anchor distT="0" distB="0" distL="114300" distR="114300" simplePos="0" relativeHeight="251665408" behindDoc="0" locked="0" layoutInCell="1" allowOverlap="1">
                  <wp:simplePos x="0" y="0"/>
                  <wp:positionH relativeFrom="column">
                    <wp:posOffset>2113280</wp:posOffset>
                  </wp:positionH>
                  <wp:positionV relativeFrom="paragraph">
                    <wp:posOffset>687070</wp:posOffset>
                  </wp:positionV>
                  <wp:extent cx="1627505" cy="400050"/>
                  <wp:effectExtent l="0" t="0" r="0" b="12065"/>
                  <wp:wrapTopAndBottom/>
                  <wp:docPr id="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2"/>
                          <pic:cNvPicPr>
                            <a:picLocks noChangeAspect="1"/>
                          </pic:cNvPicPr>
                        </pic:nvPicPr>
                        <pic:blipFill>
                          <a:blip r:embed="rId22"/>
                          <a:stretch>
                            <a:fillRect/>
                          </a:stretch>
                        </pic:blipFill>
                        <pic:spPr>
                          <a:xfrm>
                            <a:off x="0" y="0"/>
                            <a:ext cx="1627505" cy="400050"/>
                          </a:xfrm>
                          <a:prstGeom prst="rect">
                            <a:avLst/>
                          </a:prstGeom>
                          <a:noFill/>
                          <a:ln>
                            <a:noFill/>
                          </a:ln>
                        </pic:spPr>
                      </pic:pic>
                    </a:graphicData>
                  </a:graphic>
                </wp:anchor>
              </w:drawing>
            </w:r>
            <w:r>
              <w:rPr>
                <w:color w:val="auto"/>
                <w:sz w:val="24"/>
              </w:rPr>
              <w:t>在同一受声点接受来自多个点声源的声能，可通过叠加得出该受声点的声压级。噪声叠加公式如下：</w:t>
            </w:r>
          </w:p>
          <w:p w14:paraId="20723054">
            <w:pPr>
              <w:spacing w:line="500" w:lineRule="atLeast"/>
              <w:ind w:firstLine="480" w:firstLineChars="200"/>
              <w:rPr>
                <w:color w:val="auto"/>
                <w:sz w:val="24"/>
              </w:rPr>
            </w:pPr>
            <w:r>
              <w:rPr>
                <w:color w:val="auto"/>
                <w:sz w:val="24"/>
              </w:rPr>
              <w:t>式中：</w:t>
            </w:r>
            <w:r>
              <w:rPr>
                <w:i/>
                <w:color w:val="auto"/>
                <w:sz w:val="24"/>
              </w:rPr>
              <w:t>L</w:t>
            </w:r>
            <w:r>
              <w:rPr>
                <w:color w:val="auto"/>
                <w:sz w:val="24"/>
              </w:rPr>
              <w:t xml:space="preserve"> —— 总声压级，dB(A)；</w:t>
            </w:r>
          </w:p>
          <w:p w14:paraId="3C1184C8">
            <w:pPr>
              <w:spacing w:line="500" w:lineRule="atLeast"/>
              <w:ind w:firstLine="480" w:firstLineChars="200"/>
              <w:rPr>
                <w:color w:val="auto"/>
                <w:sz w:val="24"/>
              </w:rPr>
            </w:pPr>
            <w:r>
              <w:rPr>
                <w:color w:val="auto"/>
                <w:sz w:val="24"/>
              </w:rPr>
              <w:t xml:space="preserve">     </w:t>
            </w:r>
            <w:r>
              <w:rPr>
                <w:i/>
                <w:iCs/>
                <w:color w:val="auto"/>
                <w:sz w:val="24"/>
              </w:rPr>
              <w:t xml:space="preserve"> L</w:t>
            </w:r>
            <w:r>
              <w:rPr>
                <w:i/>
                <w:iCs/>
                <w:color w:val="auto"/>
                <w:sz w:val="24"/>
                <w:vertAlign w:val="subscript"/>
              </w:rPr>
              <w:t>i</w:t>
            </w:r>
            <w:r>
              <w:rPr>
                <w:color w:val="auto"/>
                <w:sz w:val="24"/>
              </w:rPr>
              <w:t xml:space="preserve"> —— 第i个声源的等效A声压级值，dB(A)；</w:t>
            </w:r>
          </w:p>
          <w:p w14:paraId="1E2C820B">
            <w:pPr>
              <w:spacing w:line="500" w:lineRule="atLeast"/>
              <w:ind w:firstLine="1200" w:firstLineChars="500"/>
              <w:rPr>
                <w:color w:val="auto"/>
                <w:sz w:val="24"/>
              </w:rPr>
            </w:pPr>
            <w:r>
              <w:rPr>
                <w:i/>
                <w:color w:val="auto"/>
                <w:sz w:val="24"/>
              </w:rPr>
              <w:t>n</w:t>
            </w:r>
            <w:r>
              <w:rPr>
                <w:color w:val="auto"/>
                <w:sz w:val="24"/>
              </w:rPr>
              <w:t xml:space="preserve"> —— 噪声源数。</w:t>
            </w:r>
          </w:p>
          <w:p w14:paraId="3FED0FA2">
            <w:pPr>
              <w:spacing w:line="360" w:lineRule="auto"/>
              <w:jc w:val="both"/>
              <w:rPr>
                <w:b/>
                <w:color w:val="auto"/>
                <w:kern w:val="0"/>
                <w:sz w:val="24"/>
              </w:rPr>
            </w:pPr>
            <w:r>
              <w:rPr>
                <w:bCs/>
                <w:color w:val="auto"/>
                <w:sz w:val="24"/>
              </w:rPr>
              <w:t>本项目噪声源强见下表</w:t>
            </w:r>
            <w:r>
              <w:rPr>
                <w:rFonts w:hint="eastAsia"/>
                <w:bCs/>
                <w:color w:val="auto"/>
                <w:sz w:val="24"/>
              </w:rPr>
              <w:t>：</w:t>
            </w:r>
          </w:p>
          <w:p w14:paraId="700C046C">
            <w:pPr>
              <w:tabs>
                <w:tab w:val="left" w:pos="5355"/>
              </w:tabs>
              <w:spacing w:line="500" w:lineRule="exact"/>
              <w:ind w:firstLine="0" w:firstLineChars="0"/>
              <w:jc w:val="center"/>
              <w:rPr>
                <w:b/>
                <w:bCs/>
                <w:color w:val="auto"/>
                <w:sz w:val="24"/>
              </w:rPr>
            </w:pPr>
            <w:r>
              <w:rPr>
                <w:b/>
                <w:bCs/>
                <w:color w:val="auto"/>
                <w:sz w:val="24"/>
              </w:rPr>
              <w:t xml:space="preserve">表4-14  </w:t>
            </w:r>
            <w:r>
              <w:rPr>
                <w:rFonts w:hint="eastAsia"/>
                <w:b/>
                <w:bCs/>
                <w:color w:val="auto"/>
                <w:sz w:val="24"/>
              </w:rPr>
              <w:t xml:space="preserve"> 噪声源强调查清单（室外声源）</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341"/>
              <w:gridCol w:w="797"/>
              <w:gridCol w:w="957"/>
              <w:gridCol w:w="958"/>
              <w:gridCol w:w="970"/>
              <w:gridCol w:w="1279"/>
              <w:gridCol w:w="1726"/>
              <w:gridCol w:w="930"/>
            </w:tblGrid>
            <w:tr w14:paraId="4E3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Merge w:val="restart"/>
                  <w:noWrap w:val="0"/>
                  <w:vAlign w:val="center"/>
                </w:tcPr>
                <w:p w14:paraId="7C8F5A01">
                  <w:pPr>
                    <w:jc w:val="center"/>
                    <w:rPr>
                      <w:bCs/>
                      <w:color w:val="auto"/>
                      <w:szCs w:val="21"/>
                    </w:rPr>
                  </w:pPr>
                  <w:r>
                    <w:rPr>
                      <w:bCs/>
                      <w:color w:val="auto"/>
                      <w:szCs w:val="21"/>
                    </w:rPr>
                    <w:t>序号</w:t>
                  </w:r>
                </w:p>
              </w:tc>
              <w:tc>
                <w:tcPr>
                  <w:tcW w:w="708" w:type="pct"/>
                  <w:vMerge w:val="restart"/>
                  <w:noWrap w:val="0"/>
                  <w:vAlign w:val="center"/>
                </w:tcPr>
                <w:p w14:paraId="18546400">
                  <w:pPr>
                    <w:jc w:val="center"/>
                    <w:rPr>
                      <w:bCs/>
                      <w:color w:val="auto"/>
                      <w:szCs w:val="21"/>
                    </w:rPr>
                  </w:pPr>
                  <w:r>
                    <w:rPr>
                      <w:bCs/>
                      <w:color w:val="auto"/>
                      <w:szCs w:val="21"/>
                    </w:rPr>
                    <w:t>声源名称</w:t>
                  </w:r>
                </w:p>
              </w:tc>
              <w:tc>
                <w:tcPr>
                  <w:tcW w:w="421" w:type="pct"/>
                  <w:vMerge w:val="restart"/>
                  <w:noWrap w:val="0"/>
                  <w:vAlign w:val="center"/>
                </w:tcPr>
                <w:p w14:paraId="73DEF264">
                  <w:pPr>
                    <w:jc w:val="center"/>
                    <w:rPr>
                      <w:bCs/>
                      <w:color w:val="auto"/>
                      <w:szCs w:val="21"/>
                    </w:rPr>
                  </w:pPr>
                  <w:r>
                    <w:rPr>
                      <w:bCs/>
                      <w:color w:val="auto"/>
                      <w:szCs w:val="21"/>
                    </w:rPr>
                    <w:t>型号</w:t>
                  </w:r>
                </w:p>
              </w:tc>
              <w:tc>
                <w:tcPr>
                  <w:tcW w:w="1524" w:type="pct"/>
                  <w:gridSpan w:val="3"/>
                  <w:noWrap w:val="0"/>
                  <w:vAlign w:val="center"/>
                </w:tcPr>
                <w:p w14:paraId="7120514B">
                  <w:pPr>
                    <w:jc w:val="center"/>
                    <w:rPr>
                      <w:bCs/>
                      <w:color w:val="auto"/>
                      <w:szCs w:val="21"/>
                    </w:rPr>
                  </w:pPr>
                  <w:r>
                    <w:rPr>
                      <w:bCs/>
                      <w:color w:val="auto"/>
                      <w:szCs w:val="21"/>
                    </w:rPr>
                    <w:t>空间相对位置/m</w:t>
                  </w:r>
                </w:p>
              </w:tc>
              <w:tc>
                <w:tcPr>
                  <w:tcW w:w="675" w:type="pct"/>
                  <w:vMerge w:val="restart"/>
                  <w:noWrap w:val="0"/>
                  <w:vAlign w:val="center"/>
                </w:tcPr>
                <w:p w14:paraId="598B806A">
                  <w:pPr>
                    <w:jc w:val="center"/>
                    <w:rPr>
                      <w:bCs/>
                      <w:color w:val="auto"/>
                      <w:szCs w:val="21"/>
                    </w:rPr>
                  </w:pPr>
                  <w:r>
                    <w:rPr>
                      <w:bCs/>
                      <w:color w:val="auto"/>
                      <w:szCs w:val="21"/>
                    </w:rPr>
                    <w:t>声源源强</w:t>
                  </w:r>
                </w:p>
              </w:tc>
              <w:tc>
                <w:tcPr>
                  <w:tcW w:w="911" w:type="pct"/>
                  <w:vMerge w:val="restart"/>
                  <w:noWrap w:val="0"/>
                  <w:vAlign w:val="center"/>
                </w:tcPr>
                <w:p w14:paraId="5A608D80">
                  <w:pPr>
                    <w:jc w:val="center"/>
                    <w:rPr>
                      <w:bCs/>
                      <w:color w:val="auto"/>
                      <w:szCs w:val="21"/>
                    </w:rPr>
                  </w:pPr>
                  <w:r>
                    <w:rPr>
                      <w:bCs/>
                      <w:color w:val="auto"/>
                      <w:szCs w:val="21"/>
                    </w:rPr>
                    <w:t>声源控制措施</w:t>
                  </w:r>
                </w:p>
              </w:tc>
              <w:tc>
                <w:tcPr>
                  <w:tcW w:w="491" w:type="pct"/>
                  <w:vMerge w:val="restart"/>
                  <w:noWrap w:val="0"/>
                  <w:vAlign w:val="center"/>
                </w:tcPr>
                <w:p w14:paraId="356F3E74">
                  <w:pPr>
                    <w:jc w:val="center"/>
                    <w:rPr>
                      <w:bCs/>
                      <w:color w:val="auto"/>
                      <w:szCs w:val="21"/>
                    </w:rPr>
                  </w:pPr>
                  <w:r>
                    <w:rPr>
                      <w:bCs/>
                      <w:color w:val="auto"/>
                      <w:szCs w:val="21"/>
                    </w:rPr>
                    <w:t>运行时段</w:t>
                  </w:r>
                </w:p>
              </w:tc>
            </w:tr>
            <w:tr w14:paraId="03C1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67" w:type="pct"/>
                  <w:vMerge w:val="continue"/>
                  <w:noWrap w:val="0"/>
                  <w:vAlign w:val="center"/>
                </w:tcPr>
                <w:p w14:paraId="4A813B93">
                  <w:pPr>
                    <w:jc w:val="center"/>
                    <w:rPr>
                      <w:bCs/>
                      <w:color w:val="auto"/>
                      <w:szCs w:val="21"/>
                    </w:rPr>
                  </w:pPr>
                </w:p>
              </w:tc>
              <w:tc>
                <w:tcPr>
                  <w:tcW w:w="708" w:type="pct"/>
                  <w:vMerge w:val="continue"/>
                  <w:noWrap w:val="0"/>
                  <w:vAlign w:val="center"/>
                </w:tcPr>
                <w:p w14:paraId="2D5816CD">
                  <w:pPr>
                    <w:jc w:val="center"/>
                    <w:rPr>
                      <w:bCs/>
                      <w:color w:val="auto"/>
                      <w:szCs w:val="21"/>
                    </w:rPr>
                  </w:pPr>
                </w:p>
              </w:tc>
              <w:tc>
                <w:tcPr>
                  <w:tcW w:w="421" w:type="pct"/>
                  <w:vMerge w:val="continue"/>
                  <w:noWrap w:val="0"/>
                  <w:vAlign w:val="center"/>
                </w:tcPr>
                <w:p w14:paraId="56492CB0">
                  <w:pPr>
                    <w:jc w:val="center"/>
                    <w:rPr>
                      <w:bCs/>
                      <w:color w:val="auto"/>
                      <w:szCs w:val="21"/>
                    </w:rPr>
                  </w:pPr>
                </w:p>
              </w:tc>
              <w:tc>
                <w:tcPr>
                  <w:tcW w:w="505" w:type="pct"/>
                  <w:noWrap w:val="0"/>
                  <w:vAlign w:val="center"/>
                </w:tcPr>
                <w:p w14:paraId="07744185">
                  <w:pPr>
                    <w:jc w:val="center"/>
                    <w:rPr>
                      <w:bCs/>
                      <w:color w:val="auto"/>
                      <w:szCs w:val="21"/>
                    </w:rPr>
                  </w:pPr>
                  <w:r>
                    <w:rPr>
                      <w:bCs/>
                      <w:color w:val="auto"/>
                      <w:szCs w:val="21"/>
                    </w:rPr>
                    <w:t>X</w:t>
                  </w:r>
                </w:p>
              </w:tc>
              <w:tc>
                <w:tcPr>
                  <w:tcW w:w="506" w:type="pct"/>
                  <w:noWrap w:val="0"/>
                  <w:vAlign w:val="center"/>
                </w:tcPr>
                <w:p w14:paraId="2C222187">
                  <w:pPr>
                    <w:jc w:val="center"/>
                    <w:rPr>
                      <w:bCs/>
                      <w:color w:val="auto"/>
                      <w:szCs w:val="21"/>
                    </w:rPr>
                  </w:pPr>
                  <w:r>
                    <w:rPr>
                      <w:bCs/>
                      <w:color w:val="auto"/>
                      <w:szCs w:val="21"/>
                    </w:rPr>
                    <w:t>Y</w:t>
                  </w:r>
                </w:p>
              </w:tc>
              <w:tc>
                <w:tcPr>
                  <w:tcW w:w="512" w:type="pct"/>
                  <w:noWrap w:val="0"/>
                  <w:vAlign w:val="center"/>
                </w:tcPr>
                <w:p w14:paraId="6879BF21">
                  <w:pPr>
                    <w:jc w:val="center"/>
                    <w:rPr>
                      <w:bCs/>
                      <w:color w:val="auto"/>
                      <w:szCs w:val="21"/>
                    </w:rPr>
                  </w:pPr>
                  <w:r>
                    <w:rPr>
                      <w:bCs/>
                      <w:color w:val="auto"/>
                      <w:szCs w:val="21"/>
                    </w:rPr>
                    <w:t>Z</w:t>
                  </w:r>
                </w:p>
              </w:tc>
              <w:tc>
                <w:tcPr>
                  <w:tcW w:w="675" w:type="pct"/>
                  <w:vMerge w:val="continue"/>
                  <w:noWrap w:val="0"/>
                  <w:vAlign w:val="center"/>
                </w:tcPr>
                <w:p w14:paraId="03226A8C">
                  <w:pPr>
                    <w:jc w:val="center"/>
                    <w:rPr>
                      <w:bCs/>
                      <w:color w:val="auto"/>
                      <w:szCs w:val="21"/>
                    </w:rPr>
                  </w:pPr>
                </w:p>
              </w:tc>
              <w:tc>
                <w:tcPr>
                  <w:tcW w:w="911" w:type="pct"/>
                  <w:vMerge w:val="continue"/>
                  <w:noWrap w:val="0"/>
                  <w:vAlign w:val="center"/>
                </w:tcPr>
                <w:p w14:paraId="55BA15AF">
                  <w:pPr>
                    <w:jc w:val="center"/>
                    <w:rPr>
                      <w:bCs/>
                      <w:color w:val="auto"/>
                      <w:szCs w:val="21"/>
                    </w:rPr>
                  </w:pPr>
                </w:p>
              </w:tc>
              <w:tc>
                <w:tcPr>
                  <w:tcW w:w="491" w:type="pct"/>
                  <w:vMerge w:val="continue"/>
                  <w:noWrap w:val="0"/>
                  <w:vAlign w:val="center"/>
                </w:tcPr>
                <w:p w14:paraId="1AAC4801">
                  <w:pPr>
                    <w:jc w:val="center"/>
                    <w:rPr>
                      <w:bCs/>
                      <w:color w:val="auto"/>
                      <w:szCs w:val="21"/>
                    </w:rPr>
                  </w:pPr>
                </w:p>
              </w:tc>
            </w:tr>
            <w:tr w14:paraId="5963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7D1CA181">
                  <w:pPr>
                    <w:jc w:val="center"/>
                    <w:rPr>
                      <w:bCs/>
                      <w:color w:val="auto"/>
                      <w:szCs w:val="21"/>
                    </w:rPr>
                  </w:pPr>
                  <w:r>
                    <w:rPr>
                      <w:rFonts w:hint="eastAsia"/>
                      <w:bCs/>
                      <w:color w:val="auto"/>
                      <w:szCs w:val="21"/>
                    </w:rPr>
                    <w:t>1</w:t>
                  </w:r>
                </w:p>
              </w:tc>
              <w:tc>
                <w:tcPr>
                  <w:tcW w:w="708" w:type="pct"/>
                  <w:noWrap w:val="0"/>
                  <w:vAlign w:val="center"/>
                </w:tcPr>
                <w:p w14:paraId="63C96F21">
                  <w:pPr>
                    <w:spacing w:line="240" w:lineRule="exact"/>
                    <w:jc w:val="center"/>
                    <w:rPr>
                      <w:rFonts w:hint="default" w:eastAsia="宋体"/>
                      <w:bCs/>
                      <w:color w:val="auto"/>
                      <w:szCs w:val="21"/>
                      <w:lang w:val="en-US" w:eastAsia="zh-CN"/>
                    </w:rPr>
                  </w:pPr>
                  <w:r>
                    <w:rPr>
                      <w:rFonts w:hint="eastAsia"/>
                      <w:color w:val="auto"/>
                      <w:szCs w:val="21"/>
                      <w:lang w:val="en-US" w:eastAsia="zh-CN"/>
                    </w:rPr>
                    <w:t>混合机</w:t>
                  </w:r>
                </w:p>
              </w:tc>
              <w:tc>
                <w:tcPr>
                  <w:tcW w:w="421" w:type="pct"/>
                  <w:noWrap w:val="0"/>
                  <w:vAlign w:val="center"/>
                </w:tcPr>
                <w:p w14:paraId="474D3E56">
                  <w:pPr>
                    <w:jc w:val="center"/>
                    <w:rPr>
                      <w:bCs/>
                      <w:color w:val="auto"/>
                      <w:szCs w:val="21"/>
                    </w:rPr>
                  </w:pPr>
                  <w:r>
                    <w:rPr>
                      <w:rFonts w:hint="eastAsia"/>
                      <w:bCs/>
                      <w:color w:val="auto"/>
                      <w:szCs w:val="21"/>
                    </w:rPr>
                    <w:t>/</w:t>
                  </w:r>
                </w:p>
              </w:tc>
              <w:tc>
                <w:tcPr>
                  <w:tcW w:w="505" w:type="pct"/>
                  <w:noWrap w:val="0"/>
                  <w:vAlign w:val="center"/>
                </w:tcPr>
                <w:p w14:paraId="56CAEF50">
                  <w:pPr>
                    <w:jc w:val="center"/>
                    <w:rPr>
                      <w:bCs/>
                      <w:color w:val="auto"/>
                      <w:szCs w:val="21"/>
                    </w:rPr>
                  </w:pPr>
                  <w:r>
                    <w:rPr>
                      <w:bCs/>
                      <w:color w:val="auto"/>
                      <w:szCs w:val="21"/>
                    </w:rPr>
                    <w:t>-2.27</w:t>
                  </w:r>
                </w:p>
              </w:tc>
              <w:tc>
                <w:tcPr>
                  <w:tcW w:w="506" w:type="pct"/>
                  <w:noWrap w:val="0"/>
                  <w:vAlign w:val="center"/>
                </w:tcPr>
                <w:p w14:paraId="0107F7B0">
                  <w:pPr>
                    <w:jc w:val="center"/>
                    <w:rPr>
                      <w:bCs/>
                      <w:color w:val="auto"/>
                      <w:szCs w:val="21"/>
                    </w:rPr>
                  </w:pPr>
                  <w:r>
                    <w:rPr>
                      <w:bCs/>
                      <w:color w:val="auto"/>
                      <w:szCs w:val="21"/>
                    </w:rPr>
                    <w:t>7.05</w:t>
                  </w:r>
                </w:p>
              </w:tc>
              <w:tc>
                <w:tcPr>
                  <w:tcW w:w="512" w:type="pct"/>
                  <w:noWrap w:val="0"/>
                  <w:vAlign w:val="center"/>
                </w:tcPr>
                <w:p w14:paraId="09CBE20C">
                  <w:pPr>
                    <w:jc w:val="center"/>
                    <w:rPr>
                      <w:bCs/>
                      <w:color w:val="auto"/>
                      <w:szCs w:val="21"/>
                    </w:rPr>
                  </w:pPr>
                  <w:r>
                    <w:rPr>
                      <w:rFonts w:hint="eastAsia"/>
                      <w:bCs/>
                      <w:color w:val="auto"/>
                      <w:szCs w:val="21"/>
                    </w:rPr>
                    <w:t>0</w:t>
                  </w:r>
                </w:p>
              </w:tc>
              <w:tc>
                <w:tcPr>
                  <w:tcW w:w="675" w:type="pct"/>
                  <w:noWrap w:val="0"/>
                  <w:vAlign w:val="center"/>
                </w:tcPr>
                <w:p w14:paraId="3B0AC05D">
                  <w:pPr>
                    <w:spacing w:line="240" w:lineRule="exact"/>
                    <w:jc w:val="center"/>
                    <w:rPr>
                      <w:bCs/>
                      <w:color w:val="auto"/>
                      <w:szCs w:val="21"/>
                    </w:rPr>
                  </w:pPr>
                  <w:r>
                    <w:rPr>
                      <w:color w:val="auto"/>
                      <w:kern w:val="24"/>
                      <w:szCs w:val="21"/>
                    </w:rPr>
                    <w:t>90</w:t>
                  </w:r>
                </w:p>
              </w:tc>
              <w:tc>
                <w:tcPr>
                  <w:tcW w:w="911" w:type="pct"/>
                  <w:vMerge w:val="restart"/>
                  <w:noWrap w:val="0"/>
                  <w:vAlign w:val="center"/>
                </w:tcPr>
                <w:p w14:paraId="7C80F1A4">
                  <w:pPr>
                    <w:jc w:val="center"/>
                    <w:rPr>
                      <w:rFonts w:hint="eastAsia"/>
                      <w:bCs/>
                      <w:color w:val="auto"/>
                      <w:szCs w:val="21"/>
                    </w:rPr>
                  </w:pPr>
                  <w:r>
                    <w:rPr>
                      <w:bCs/>
                      <w:color w:val="auto"/>
                      <w:szCs w:val="21"/>
                    </w:rPr>
                    <w:t>选择低噪声设备</w:t>
                  </w:r>
                  <w:r>
                    <w:rPr>
                      <w:rFonts w:hint="eastAsia"/>
                      <w:bCs/>
                      <w:color w:val="auto"/>
                      <w:szCs w:val="21"/>
                    </w:rPr>
                    <w:t>、</w:t>
                  </w:r>
                  <w:r>
                    <w:rPr>
                      <w:bCs/>
                      <w:color w:val="auto"/>
                      <w:szCs w:val="21"/>
                    </w:rPr>
                    <w:t>安装减振垫</w:t>
                  </w:r>
                </w:p>
              </w:tc>
              <w:tc>
                <w:tcPr>
                  <w:tcW w:w="491" w:type="pct"/>
                  <w:vMerge w:val="restart"/>
                  <w:noWrap w:val="0"/>
                  <w:vAlign w:val="center"/>
                </w:tcPr>
                <w:p w14:paraId="078E015D">
                  <w:pPr>
                    <w:jc w:val="center"/>
                    <w:rPr>
                      <w:rFonts w:hint="default" w:eastAsia="宋体"/>
                      <w:bCs/>
                      <w:color w:val="auto"/>
                      <w:szCs w:val="21"/>
                      <w:lang w:val="en-US" w:eastAsia="zh-CN"/>
                    </w:rPr>
                  </w:pPr>
                  <w:r>
                    <w:rPr>
                      <w:rFonts w:hint="eastAsia"/>
                      <w:bCs/>
                      <w:color w:val="auto"/>
                      <w:szCs w:val="21"/>
                      <w:lang w:val="en-US" w:eastAsia="zh-CN"/>
                    </w:rPr>
                    <w:t>2400h</w:t>
                  </w:r>
                </w:p>
              </w:tc>
            </w:tr>
            <w:tr w14:paraId="6FD9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7" w:type="pct"/>
                  <w:noWrap w:val="0"/>
                  <w:vAlign w:val="center"/>
                </w:tcPr>
                <w:p w14:paraId="6A4C4BAA">
                  <w:pPr>
                    <w:jc w:val="center"/>
                    <w:rPr>
                      <w:rFonts w:hint="eastAsia" w:eastAsia="宋体"/>
                      <w:bCs/>
                      <w:color w:val="auto"/>
                      <w:szCs w:val="21"/>
                      <w:lang w:val="en-US" w:eastAsia="zh-CN"/>
                    </w:rPr>
                  </w:pPr>
                  <w:r>
                    <w:rPr>
                      <w:rFonts w:hint="eastAsia"/>
                      <w:bCs/>
                      <w:color w:val="auto"/>
                      <w:szCs w:val="21"/>
                      <w:lang w:val="en-US" w:eastAsia="zh-CN"/>
                    </w:rPr>
                    <w:t>2</w:t>
                  </w:r>
                </w:p>
              </w:tc>
              <w:tc>
                <w:tcPr>
                  <w:tcW w:w="708" w:type="pct"/>
                  <w:noWrap w:val="0"/>
                  <w:vAlign w:val="center"/>
                </w:tcPr>
                <w:p w14:paraId="28080BE9">
                  <w:pPr>
                    <w:adjustRightInd w:val="0"/>
                    <w:spacing w:line="240" w:lineRule="exact"/>
                    <w:jc w:val="center"/>
                    <w:rPr>
                      <w:rFonts w:hint="default"/>
                      <w:bCs/>
                      <w:color w:val="auto"/>
                      <w:kern w:val="0"/>
                      <w:szCs w:val="21"/>
                      <w:lang w:val="en-US" w:eastAsia="zh-CN"/>
                    </w:rPr>
                  </w:pPr>
                  <w:r>
                    <w:rPr>
                      <w:rFonts w:hint="eastAsia"/>
                      <w:color w:val="auto"/>
                      <w:szCs w:val="21"/>
                      <w:lang w:val="en-US" w:eastAsia="zh-CN"/>
                    </w:rPr>
                    <w:t>等离子机</w:t>
                  </w:r>
                </w:p>
              </w:tc>
              <w:tc>
                <w:tcPr>
                  <w:tcW w:w="421" w:type="pct"/>
                  <w:noWrap w:val="0"/>
                  <w:vAlign w:val="center"/>
                </w:tcPr>
                <w:p w14:paraId="0B4C72A0">
                  <w:pPr>
                    <w:jc w:val="center"/>
                    <w:rPr>
                      <w:rFonts w:hint="eastAsia"/>
                      <w:bCs/>
                      <w:color w:val="auto"/>
                      <w:szCs w:val="21"/>
                    </w:rPr>
                  </w:pPr>
                  <w:r>
                    <w:rPr>
                      <w:rFonts w:hint="eastAsia"/>
                      <w:bCs/>
                      <w:color w:val="auto"/>
                      <w:szCs w:val="21"/>
                    </w:rPr>
                    <w:t>/</w:t>
                  </w:r>
                </w:p>
              </w:tc>
              <w:tc>
                <w:tcPr>
                  <w:tcW w:w="505" w:type="pct"/>
                  <w:noWrap w:val="0"/>
                  <w:vAlign w:val="center"/>
                </w:tcPr>
                <w:p w14:paraId="7142BB37">
                  <w:pPr>
                    <w:jc w:val="center"/>
                    <w:rPr>
                      <w:rFonts w:hint="default" w:eastAsia="宋体"/>
                      <w:bCs/>
                      <w:color w:val="auto"/>
                      <w:szCs w:val="21"/>
                      <w:lang w:val="en-US" w:eastAsia="zh-CN"/>
                    </w:rPr>
                  </w:pPr>
                  <w:r>
                    <w:rPr>
                      <w:rFonts w:hint="eastAsia"/>
                      <w:bCs/>
                      <w:color w:val="auto"/>
                      <w:szCs w:val="21"/>
                      <w:lang w:val="en-US" w:eastAsia="zh-CN"/>
                    </w:rPr>
                    <w:t>-4.15</w:t>
                  </w:r>
                </w:p>
              </w:tc>
              <w:tc>
                <w:tcPr>
                  <w:tcW w:w="506" w:type="pct"/>
                  <w:noWrap w:val="0"/>
                  <w:vAlign w:val="center"/>
                </w:tcPr>
                <w:p w14:paraId="10956ED4">
                  <w:pPr>
                    <w:jc w:val="center"/>
                    <w:rPr>
                      <w:rFonts w:hint="default" w:eastAsia="宋体"/>
                      <w:bCs/>
                      <w:color w:val="auto"/>
                      <w:szCs w:val="21"/>
                      <w:lang w:val="en-US" w:eastAsia="zh-CN"/>
                    </w:rPr>
                  </w:pPr>
                  <w:r>
                    <w:rPr>
                      <w:rFonts w:hint="eastAsia"/>
                      <w:bCs/>
                      <w:color w:val="auto"/>
                      <w:szCs w:val="21"/>
                      <w:lang w:val="en-US" w:eastAsia="zh-CN"/>
                    </w:rPr>
                    <w:t>6.32</w:t>
                  </w:r>
                </w:p>
              </w:tc>
              <w:tc>
                <w:tcPr>
                  <w:tcW w:w="512" w:type="pct"/>
                  <w:noWrap w:val="0"/>
                  <w:vAlign w:val="center"/>
                </w:tcPr>
                <w:p w14:paraId="0CED4BAE">
                  <w:pPr>
                    <w:jc w:val="center"/>
                    <w:rPr>
                      <w:rFonts w:hint="eastAsia" w:eastAsia="宋体"/>
                      <w:bCs/>
                      <w:color w:val="auto"/>
                      <w:szCs w:val="21"/>
                      <w:lang w:val="en-US" w:eastAsia="zh-CN"/>
                    </w:rPr>
                  </w:pPr>
                  <w:r>
                    <w:rPr>
                      <w:rFonts w:hint="eastAsia"/>
                      <w:bCs/>
                      <w:color w:val="auto"/>
                      <w:szCs w:val="21"/>
                      <w:lang w:val="en-US" w:eastAsia="zh-CN"/>
                    </w:rPr>
                    <w:t>0</w:t>
                  </w:r>
                </w:p>
              </w:tc>
              <w:tc>
                <w:tcPr>
                  <w:tcW w:w="675" w:type="pct"/>
                  <w:noWrap w:val="0"/>
                  <w:vAlign w:val="center"/>
                </w:tcPr>
                <w:p w14:paraId="1DB9AD77">
                  <w:pPr>
                    <w:spacing w:line="240" w:lineRule="exact"/>
                    <w:jc w:val="center"/>
                    <w:rPr>
                      <w:rFonts w:hint="default" w:eastAsia="宋体"/>
                      <w:bCs/>
                      <w:color w:val="auto"/>
                      <w:szCs w:val="21"/>
                      <w:lang w:val="en-US" w:eastAsia="zh-CN"/>
                    </w:rPr>
                  </w:pPr>
                  <w:r>
                    <w:rPr>
                      <w:color w:val="auto"/>
                      <w:kern w:val="24"/>
                      <w:szCs w:val="21"/>
                    </w:rPr>
                    <w:t>85</w:t>
                  </w:r>
                </w:p>
              </w:tc>
              <w:tc>
                <w:tcPr>
                  <w:tcW w:w="911" w:type="pct"/>
                  <w:vMerge w:val="continue"/>
                  <w:noWrap w:val="0"/>
                  <w:vAlign w:val="center"/>
                </w:tcPr>
                <w:p w14:paraId="61F6B276">
                  <w:pPr>
                    <w:jc w:val="center"/>
                    <w:rPr>
                      <w:bCs/>
                      <w:color w:val="auto"/>
                      <w:szCs w:val="21"/>
                    </w:rPr>
                  </w:pPr>
                </w:p>
              </w:tc>
              <w:tc>
                <w:tcPr>
                  <w:tcW w:w="491" w:type="pct"/>
                  <w:vMerge w:val="continue"/>
                  <w:noWrap w:val="0"/>
                  <w:vAlign w:val="center"/>
                </w:tcPr>
                <w:p w14:paraId="1E28E68B">
                  <w:pPr>
                    <w:jc w:val="center"/>
                    <w:rPr>
                      <w:rFonts w:hint="eastAsia"/>
                      <w:bCs/>
                      <w:color w:val="auto"/>
                      <w:szCs w:val="21"/>
                      <w:lang w:val="en-US" w:eastAsia="zh-CN"/>
                    </w:rPr>
                  </w:pPr>
                </w:p>
              </w:tc>
            </w:tr>
            <w:tr w14:paraId="0CA3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460B417A">
                  <w:pPr>
                    <w:jc w:val="center"/>
                    <w:rPr>
                      <w:rFonts w:hint="eastAsia" w:eastAsia="宋体"/>
                      <w:bCs/>
                      <w:color w:val="auto"/>
                      <w:szCs w:val="21"/>
                      <w:lang w:eastAsia="zh-CN"/>
                    </w:rPr>
                  </w:pPr>
                  <w:r>
                    <w:rPr>
                      <w:rFonts w:hint="eastAsia"/>
                      <w:bCs/>
                      <w:color w:val="auto"/>
                      <w:szCs w:val="21"/>
                      <w:lang w:val="en-US" w:eastAsia="zh-CN"/>
                    </w:rPr>
                    <w:t>3</w:t>
                  </w:r>
                </w:p>
              </w:tc>
              <w:tc>
                <w:tcPr>
                  <w:tcW w:w="708" w:type="pct"/>
                  <w:noWrap w:val="0"/>
                  <w:vAlign w:val="center"/>
                </w:tcPr>
                <w:p w14:paraId="618DF589">
                  <w:pPr>
                    <w:adjustRightInd w:val="0"/>
                    <w:spacing w:line="240" w:lineRule="exact"/>
                    <w:jc w:val="center"/>
                    <w:rPr>
                      <w:bCs/>
                      <w:color w:val="auto"/>
                      <w:szCs w:val="21"/>
                    </w:rPr>
                  </w:pPr>
                  <w:r>
                    <w:rPr>
                      <w:rFonts w:hint="eastAsia"/>
                      <w:color w:val="auto"/>
                      <w:szCs w:val="21"/>
                      <w:lang w:val="en-US" w:eastAsia="zh-CN"/>
                    </w:rPr>
                    <w:t>包装机</w:t>
                  </w:r>
                </w:p>
              </w:tc>
              <w:tc>
                <w:tcPr>
                  <w:tcW w:w="421" w:type="pct"/>
                  <w:noWrap w:val="0"/>
                  <w:vAlign w:val="center"/>
                </w:tcPr>
                <w:p w14:paraId="42ECBC7C">
                  <w:pPr>
                    <w:jc w:val="center"/>
                    <w:rPr>
                      <w:bCs/>
                      <w:color w:val="auto"/>
                      <w:szCs w:val="21"/>
                    </w:rPr>
                  </w:pPr>
                  <w:r>
                    <w:rPr>
                      <w:rFonts w:hint="eastAsia"/>
                      <w:bCs/>
                      <w:color w:val="auto"/>
                      <w:szCs w:val="21"/>
                    </w:rPr>
                    <w:t>/</w:t>
                  </w:r>
                </w:p>
              </w:tc>
              <w:tc>
                <w:tcPr>
                  <w:tcW w:w="505" w:type="pct"/>
                  <w:noWrap w:val="0"/>
                  <w:vAlign w:val="center"/>
                </w:tcPr>
                <w:p w14:paraId="4A7555E6">
                  <w:pPr>
                    <w:jc w:val="center"/>
                    <w:rPr>
                      <w:bCs/>
                      <w:color w:val="auto"/>
                      <w:szCs w:val="21"/>
                    </w:rPr>
                  </w:pPr>
                  <w:r>
                    <w:rPr>
                      <w:bCs/>
                      <w:color w:val="auto"/>
                      <w:szCs w:val="21"/>
                    </w:rPr>
                    <w:t>-3.28</w:t>
                  </w:r>
                </w:p>
              </w:tc>
              <w:tc>
                <w:tcPr>
                  <w:tcW w:w="506" w:type="pct"/>
                  <w:noWrap w:val="0"/>
                  <w:vAlign w:val="center"/>
                </w:tcPr>
                <w:p w14:paraId="33D4AC4C">
                  <w:pPr>
                    <w:jc w:val="center"/>
                    <w:rPr>
                      <w:bCs/>
                      <w:color w:val="auto"/>
                      <w:szCs w:val="21"/>
                    </w:rPr>
                  </w:pPr>
                  <w:r>
                    <w:rPr>
                      <w:bCs/>
                      <w:color w:val="auto"/>
                      <w:szCs w:val="21"/>
                    </w:rPr>
                    <w:t>2.44</w:t>
                  </w:r>
                </w:p>
              </w:tc>
              <w:tc>
                <w:tcPr>
                  <w:tcW w:w="512" w:type="pct"/>
                  <w:noWrap w:val="0"/>
                  <w:vAlign w:val="center"/>
                </w:tcPr>
                <w:p w14:paraId="6912ACBA">
                  <w:pPr>
                    <w:jc w:val="center"/>
                    <w:rPr>
                      <w:bCs/>
                      <w:color w:val="auto"/>
                      <w:szCs w:val="21"/>
                    </w:rPr>
                  </w:pPr>
                  <w:r>
                    <w:rPr>
                      <w:rFonts w:hint="eastAsia"/>
                      <w:bCs/>
                      <w:color w:val="auto"/>
                      <w:szCs w:val="21"/>
                    </w:rPr>
                    <w:t>0</w:t>
                  </w:r>
                </w:p>
              </w:tc>
              <w:tc>
                <w:tcPr>
                  <w:tcW w:w="675" w:type="pct"/>
                  <w:noWrap w:val="0"/>
                  <w:vAlign w:val="center"/>
                </w:tcPr>
                <w:p w14:paraId="7B2A811E">
                  <w:pPr>
                    <w:spacing w:line="240" w:lineRule="exact"/>
                    <w:jc w:val="center"/>
                    <w:rPr>
                      <w:bCs/>
                      <w:color w:val="auto"/>
                      <w:szCs w:val="21"/>
                    </w:rPr>
                  </w:pPr>
                  <w:r>
                    <w:rPr>
                      <w:color w:val="auto"/>
                      <w:kern w:val="24"/>
                      <w:szCs w:val="21"/>
                    </w:rPr>
                    <w:t>85</w:t>
                  </w:r>
                </w:p>
              </w:tc>
              <w:tc>
                <w:tcPr>
                  <w:tcW w:w="911" w:type="pct"/>
                  <w:vMerge w:val="continue"/>
                  <w:noWrap w:val="0"/>
                  <w:vAlign w:val="center"/>
                </w:tcPr>
                <w:p w14:paraId="72C60309">
                  <w:pPr>
                    <w:jc w:val="center"/>
                    <w:rPr>
                      <w:bCs/>
                      <w:color w:val="auto"/>
                      <w:szCs w:val="21"/>
                    </w:rPr>
                  </w:pPr>
                </w:p>
              </w:tc>
              <w:tc>
                <w:tcPr>
                  <w:tcW w:w="491" w:type="pct"/>
                  <w:vMerge w:val="continue"/>
                  <w:noWrap w:val="0"/>
                  <w:vAlign w:val="center"/>
                </w:tcPr>
                <w:p w14:paraId="183B2949">
                  <w:pPr>
                    <w:jc w:val="center"/>
                    <w:rPr>
                      <w:bCs/>
                      <w:color w:val="auto"/>
                      <w:szCs w:val="21"/>
                    </w:rPr>
                  </w:pPr>
                </w:p>
              </w:tc>
            </w:tr>
            <w:tr w14:paraId="49C7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73DA99C3">
                  <w:pPr>
                    <w:jc w:val="center"/>
                    <w:rPr>
                      <w:rFonts w:hint="eastAsia" w:eastAsia="宋体"/>
                      <w:bCs/>
                      <w:color w:val="auto"/>
                      <w:szCs w:val="21"/>
                      <w:lang w:val="en-US" w:eastAsia="zh-CN"/>
                    </w:rPr>
                  </w:pPr>
                  <w:r>
                    <w:rPr>
                      <w:rFonts w:hint="eastAsia"/>
                      <w:bCs/>
                      <w:color w:val="auto"/>
                      <w:szCs w:val="21"/>
                      <w:lang w:val="en-US" w:eastAsia="zh-CN"/>
                    </w:rPr>
                    <w:t>4</w:t>
                  </w:r>
                </w:p>
              </w:tc>
              <w:tc>
                <w:tcPr>
                  <w:tcW w:w="708" w:type="pct"/>
                  <w:noWrap w:val="0"/>
                  <w:vAlign w:val="center"/>
                </w:tcPr>
                <w:p w14:paraId="6F6ABB75">
                  <w:pPr>
                    <w:adjustRightInd w:val="0"/>
                    <w:spacing w:line="240" w:lineRule="exact"/>
                    <w:jc w:val="center"/>
                    <w:rPr>
                      <w:rFonts w:hint="eastAsia" w:eastAsia="宋体"/>
                      <w:bCs/>
                      <w:color w:val="auto"/>
                      <w:kern w:val="0"/>
                      <w:szCs w:val="21"/>
                      <w:lang w:eastAsia="zh-CN"/>
                    </w:rPr>
                  </w:pPr>
                  <w:r>
                    <w:rPr>
                      <w:rFonts w:hint="eastAsia"/>
                      <w:color w:val="auto"/>
                      <w:szCs w:val="21"/>
                      <w:lang w:val="en-US" w:eastAsia="zh-CN"/>
                    </w:rPr>
                    <w:t>打散机</w:t>
                  </w:r>
                </w:p>
              </w:tc>
              <w:tc>
                <w:tcPr>
                  <w:tcW w:w="421" w:type="pct"/>
                  <w:noWrap w:val="0"/>
                  <w:vAlign w:val="center"/>
                </w:tcPr>
                <w:p w14:paraId="5DA29274">
                  <w:pPr>
                    <w:jc w:val="center"/>
                    <w:rPr>
                      <w:rFonts w:hint="eastAsia" w:eastAsia="宋体"/>
                      <w:bCs/>
                      <w:color w:val="auto"/>
                      <w:szCs w:val="21"/>
                      <w:lang w:val="en-US" w:eastAsia="zh-CN"/>
                    </w:rPr>
                  </w:pPr>
                  <w:r>
                    <w:rPr>
                      <w:rFonts w:hint="eastAsia"/>
                      <w:bCs/>
                      <w:color w:val="auto"/>
                      <w:szCs w:val="21"/>
                      <w:lang w:val="en-US" w:eastAsia="zh-CN"/>
                    </w:rPr>
                    <w:t>/</w:t>
                  </w:r>
                </w:p>
              </w:tc>
              <w:tc>
                <w:tcPr>
                  <w:tcW w:w="505" w:type="pct"/>
                  <w:noWrap w:val="0"/>
                  <w:vAlign w:val="center"/>
                </w:tcPr>
                <w:p w14:paraId="1E38CB19">
                  <w:pPr>
                    <w:jc w:val="center"/>
                    <w:rPr>
                      <w:rFonts w:ascii="Times New Roman" w:hAnsi="Times New Roman" w:eastAsia="宋体" w:cs="Times New Roman"/>
                      <w:bCs/>
                      <w:color w:val="auto"/>
                      <w:kern w:val="2"/>
                      <w:sz w:val="21"/>
                      <w:szCs w:val="21"/>
                      <w:lang w:val="en-US" w:eastAsia="zh-CN" w:bidi="ar-SA"/>
                    </w:rPr>
                  </w:pPr>
                  <w:r>
                    <w:rPr>
                      <w:bCs/>
                      <w:color w:val="auto"/>
                      <w:szCs w:val="21"/>
                    </w:rPr>
                    <w:t>-</w:t>
                  </w:r>
                  <w:r>
                    <w:rPr>
                      <w:rFonts w:hint="eastAsia"/>
                      <w:bCs/>
                      <w:color w:val="auto"/>
                      <w:szCs w:val="21"/>
                      <w:lang w:val="en-US" w:eastAsia="zh-CN"/>
                    </w:rPr>
                    <w:t>4.33</w:t>
                  </w:r>
                </w:p>
              </w:tc>
              <w:tc>
                <w:tcPr>
                  <w:tcW w:w="506" w:type="pct"/>
                  <w:noWrap w:val="0"/>
                  <w:vAlign w:val="center"/>
                </w:tcPr>
                <w:p w14:paraId="1F07F58C">
                  <w:pPr>
                    <w:jc w:val="center"/>
                    <w:rPr>
                      <w:rFonts w:hint="default" w:ascii="Times New Roman" w:hAnsi="Times New Roman" w:eastAsia="宋体" w:cs="Times New Roman"/>
                      <w:bCs/>
                      <w:color w:val="auto"/>
                      <w:kern w:val="2"/>
                      <w:sz w:val="21"/>
                      <w:szCs w:val="21"/>
                      <w:lang w:val="en-US" w:eastAsia="zh-CN" w:bidi="ar-SA"/>
                    </w:rPr>
                  </w:pPr>
                  <w:r>
                    <w:rPr>
                      <w:rFonts w:hint="eastAsia"/>
                      <w:bCs/>
                      <w:color w:val="auto"/>
                      <w:szCs w:val="21"/>
                      <w:lang w:val="en-US" w:eastAsia="zh-CN"/>
                    </w:rPr>
                    <w:t>1</w:t>
                  </w:r>
                  <w:r>
                    <w:rPr>
                      <w:bCs/>
                      <w:color w:val="auto"/>
                      <w:szCs w:val="21"/>
                    </w:rPr>
                    <w:t>.</w:t>
                  </w:r>
                  <w:r>
                    <w:rPr>
                      <w:rFonts w:hint="eastAsia"/>
                      <w:bCs/>
                      <w:color w:val="auto"/>
                      <w:szCs w:val="21"/>
                      <w:lang w:val="en-US" w:eastAsia="zh-CN"/>
                    </w:rPr>
                    <w:t>28</w:t>
                  </w:r>
                </w:p>
              </w:tc>
              <w:tc>
                <w:tcPr>
                  <w:tcW w:w="512" w:type="pct"/>
                  <w:noWrap w:val="0"/>
                  <w:vAlign w:val="center"/>
                </w:tcPr>
                <w:p w14:paraId="44E084EF">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0</w:t>
                  </w:r>
                </w:p>
              </w:tc>
              <w:tc>
                <w:tcPr>
                  <w:tcW w:w="675" w:type="pct"/>
                  <w:noWrap w:val="0"/>
                  <w:vAlign w:val="center"/>
                </w:tcPr>
                <w:p w14:paraId="32C0185E">
                  <w:pPr>
                    <w:spacing w:line="240" w:lineRule="exact"/>
                    <w:jc w:val="center"/>
                    <w:rPr>
                      <w:rFonts w:hint="default" w:ascii="Times New Roman" w:hAnsi="Times New Roman" w:eastAsia="宋体" w:cs="Times New Roman"/>
                      <w:bCs/>
                      <w:color w:val="auto"/>
                      <w:kern w:val="2"/>
                      <w:sz w:val="21"/>
                      <w:szCs w:val="21"/>
                      <w:lang w:val="en-US" w:eastAsia="zh-CN" w:bidi="ar-SA"/>
                    </w:rPr>
                  </w:pPr>
                  <w:r>
                    <w:rPr>
                      <w:color w:val="auto"/>
                      <w:kern w:val="24"/>
                      <w:szCs w:val="21"/>
                    </w:rPr>
                    <w:t>90</w:t>
                  </w:r>
                </w:p>
              </w:tc>
              <w:tc>
                <w:tcPr>
                  <w:tcW w:w="911" w:type="pct"/>
                  <w:vMerge w:val="continue"/>
                  <w:noWrap w:val="0"/>
                  <w:vAlign w:val="center"/>
                </w:tcPr>
                <w:p w14:paraId="09C1CD56">
                  <w:pPr>
                    <w:jc w:val="center"/>
                    <w:rPr>
                      <w:bCs/>
                      <w:color w:val="auto"/>
                      <w:szCs w:val="21"/>
                    </w:rPr>
                  </w:pPr>
                </w:p>
              </w:tc>
              <w:tc>
                <w:tcPr>
                  <w:tcW w:w="491" w:type="pct"/>
                  <w:vMerge w:val="continue"/>
                  <w:noWrap w:val="0"/>
                  <w:vAlign w:val="center"/>
                </w:tcPr>
                <w:p w14:paraId="44DD9F49">
                  <w:pPr>
                    <w:jc w:val="center"/>
                    <w:rPr>
                      <w:bCs/>
                      <w:color w:val="auto"/>
                      <w:szCs w:val="21"/>
                    </w:rPr>
                  </w:pPr>
                </w:p>
              </w:tc>
            </w:tr>
            <w:tr w14:paraId="2D99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noWrap w:val="0"/>
                  <w:vAlign w:val="center"/>
                </w:tcPr>
                <w:p w14:paraId="7A3B7063">
                  <w:pPr>
                    <w:jc w:val="center"/>
                    <w:rPr>
                      <w:rFonts w:hint="default"/>
                      <w:bCs/>
                      <w:color w:val="auto"/>
                      <w:szCs w:val="21"/>
                      <w:lang w:val="en-US" w:eastAsia="zh-CN"/>
                    </w:rPr>
                  </w:pPr>
                  <w:r>
                    <w:rPr>
                      <w:rFonts w:hint="eastAsia"/>
                      <w:bCs/>
                      <w:color w:val="auto"/>
                      <w:szCs w:val="21"/>
                      <w:lang w:val="en-US" w:eastAsia="zh-CN"/>
                    </w:rPr>
                    <w:t>5</w:t>
                  </w:r>
                </w:p>
              </w:tc>
              <w:tc>
                <w:tcPr>
                  <w:tcW w:w="708" w:type="pct"/>
                  <w:noWrap w:val="0"/>
                  <w:vAlign w:val="center"/>
                </w:tcPr>
                <w:p w14:paraId="78C172CA">
                  <w:pPr>
                    <w:adjustRightInd w:val="0"/>
                    <w:spacing w:line="240" w:lineRule="exact"/>
                    <w:jc w:val="center"/>
                    <w:rPr>
                      <w:rFonts w:hint="eastAsia"/>
                      <w:color w:val="auto"/>
                      <w:szCs w:val="21"/>
                      <w:lang w:val="en-US" w:eastAsia="zh-CN"/>
                    </w:rPr>
                  </w:pPr>
                  <w:r>
                    <w:rPr>
                      <w:rFonts w:hint="eastAsia"/>
                      <w:color w:val="auto"/>
                      <w:szCs w:val="21"/>
                      <w:lang w:val="en-US" w:eastAsia="zh-CN"/>
                    </w:rPr>
                    <w:t>风机</w:t>
                  </w:r>
                </w:p>
              </w:tc>
              <w:tc>
                <w:tcPr>
                  <w:tcW w:w="421" w:type="pct"/>
                  <w:noWrap w:val="0"/>
                  <w:vAlign w:val="center"/>
                </w:tcPr>
                <w:p w14:paraId="1349618C">
                  <w:pPr>
                    <w:jc w:val="center"/>
                    <w:rPr>
                      <w:rFonts w:hint="default"/>
                      <w:bCs/>
                      <w:color w:val="auto"/>
                      <w:szCs w:val="21"/>
                      <w:lang w:val="en-US" w:eastAsia="zh-CN"/>
                    </w:rPr>
                  </w:pPr>
                  <w:r>
                    <w:rPr>
                      <w:rFonts w:hint="eastAsia"/>
                      <w:bCs/>
                      <w:color w:val="auto"/>
                      <w:szCs w:val="21"/>
                      <w:lang w:val="en-US" w:eastAsia="zh-CN"/>
                    </w:rPr>
                    <w:t>/</w:t>
                  </w:r>
                </w:p>
              </w:tc>
              <w:tc>
                <w:tcPr>
                  <w:tcW w:w="505" w:type="pct"/>
                  <w:noWrap w:val="0"/>
                  <w:vAlign w:val="center"/>
                </w:tcPr>
                <w:p w14:paraId="3D6426DC">
                  <w:pPr>
                    <w:jc w:val="center"/>
                    <w:rPr>
                      <w:rFonts w:hint="default" w:eastAsia="宋体"/>
                      <w:bCs/>
                      <w:color w:val="auto"/>
                      <w:szCs w:val="21"/>
                      <w:lang w:val="en-US" w:eastAsia="zh-CN"/>
                    </w:rPr>
                  </w:pPr>
                  <w:r>
                    <w:rPr>
                      <w:rFonts w:hint="eastAsia"/>
                      <w:bCs/>
                      <w:color w:val="auto"/>
                      <w:szCs w:val="21"/>
                      <w:lang w:val="en-US" w:eastAsia="zh-CN"/>
                    </w:rPr>
                    <w:t>-4.69</w:t>
                  </w:r>
                </w:p>
              </w:tc>
              <w:tc>
                <w:tcPr>
                  <w:tcW w:w="506" w:type="pct"/>
                  <w:noWrap w:val="0"/>
                  <w:vAlign w:val="center"/>
                </w:tcPr>
                <w:p w14:paraId="03263F08">
                  <w:pPr>
                    <w:jc w:val="center"/>
                    <w:rPr>
                      <w:rFonts w:hint="default"/>
                      <w:bCs/>
                      <w:color w:val="auto"/>
                      <w:szCs w:val="21"/>
                      <w:lang w:val="en-US" w:eastAsia="zh-CN"/>
                    </w:rPr>
                  </w:pPr>
                  <w:r>
                    <w:rPr>
                      <w:rFonts w:hint="eastAsia"/>
                      <w:bCs/>
                      <w:color w:val="auto"/>
                      <w:szCs w:val="21"/>
                      <w:lang w:val="en-US" w:eastAsia="zh-CN"/>
                    </w:rPr>
                    <w:t>1.52</w:t>
                  </w:r>
                </w:p>
              </w:tc>
              <w:tc>
                <w:tcPr>
                  <w:tcW w:w="512" w:type="pct"/>
                  <w:noWrap w:val="0"/>
                  <w:vAlign w:val="center"/>
                </w:tcPr>
                <w:p w14:paraId="283A5DFA">
                  <w:pPr>
                    <w:jc w:val="center"/>
                    <w:rPr>
                      <w:rFonts w:hint="eastAsia" w:eastAsia="宋体"/>
                      <w:bCs/>
                      <w:color w:val="auto"/>
                      <w:szCs w:val="21"/>
                      <w:lang w:val="en-US" w:eastAsia="zh-CN"/>
                    </w:rPr>
                  </w:pPr>
                  <w:r>
                    <w:rPr>
                      <w:rFonts w:hint="eastAsia"/>
                      <w:bCs/>
                      <w:color w:val="auto"/>
                      <w:szCs w:val="21"/>
                      <w:lang w:val="en-US" w:eastAsia="zh-CN"/>
                    </w:rPr>
                    <w:t>0</w:t>
                  </w:r>
                </w:p>
              </w:tc>
              <w:tc>
                <w:tcPr>
                  <w:tcW w:w="675" w:type="pct"/>
                  <w:noWrap w:val="0"/>
                  <w:vAlign w:val="center"/>
                </w:tcPr>
                <w:p w14:paraId="57FAC916">
                  <w:pPr>
                    <w:spacing w:line="240" w:lineRule="exact"/>
                    <w:jc w:val="center"/>
                    <w:rPr>
                      <w:rFonts w:hint="default" w:eastAsia="宋体"/>
                      <w:color w:val="auto"/>
                      <w:kern w:val="24"/>
                      <w:szCs w:val="21"/>
                      <w:lang w:val="en-US" w:eastAsia="zh-CN"/>
                    </w:rPr>
                  </w:pPr>
                  <w:r>
                    <w:rPr>
                      <w:rFonts w:hint="eastAsia"/>
                      <w:color w:val="auto"/>
                      <w:kern w:val="24"/>
                      <w:szCs w:val="21"/>
                      <w:lang w:val="en-US" w:eastAsia="zh-CN"/>
                    </w:rPr>
                    <w:t>90</w:t>
                  </w:r>
                </w:p>
              </w:tc>
              <w:tc>
                <w:tcPr>
                  <w:tcW w:w="911" w:type="pct"/>
                  <w:vMerge w:val="continue"/>
                  <w:noWrap w:val="0"/>
                  <w:vAlign w:val="center"/>
                </w:tcPr>
                <w:p w14:paraId="53E2B74E">
                  <w:pPr>
                    <w:jc w:val="center"/>
                    <w:rPr>
                      <w:bCs/>
                      <w:color w:val="auto"/>
                      <w:szCs w:val="21"/>
                    </w:rPr>
                  </w:pPr>
                </w:p>
              </w:tc>
              <w:tc>
                <w:tcPr>
                  <w:tcW w:w="491" w:type="pct"/>
                  <w:vMerge w:val="continue"/>
                  <w:noWrap w:val="0"/>
                  <w:vAlign w:val="center"/>
                </w:tcPr>
                <w:p w14:paraId="08423E74">
                  <w:pPr>
                    <w:jc w:val="center"/>
                    <w:rPr>
                      <w:bCs/>
                      <w:color w:val="auto"/>
                      <w:szCs w:val="21"/>
                    </w:rPr>
                  </w:pPr>
                </w:p>
              </w:tc>
            </w:tr>
          </w:tbl>
          <w:p w14:paraId="772D9087">
            <w:pPr>
              <w:adjustRightInd w:val="0"/>
              <w:spacing w:line="360" w:lineRule="auto"/>
              <w:ind w:firstLine="448" w:firstLineChars="196"/>
              <w:rPr>
                <w:b/>
                <w:bCs/>
                <w:color w:val="auto"/>
                <w:spacing w:val="9"/>
              </w:rPr>
            </w:pPr>
            <w:r>
              <w:rPr>
                <w:b/>
                <w:bCs/>
                <w:color w:val="auto"/>
                <w:spacing w:val="9"/>
              </w:rPr>
              <w:t>3.</w:t>
            </w:r>
            <w:r>
              <w:rPr>
                <w:rFonts w:hint="eastAsia"/>
                <w:b/>
                <w:bCs/>
                <w:color w:val="auto"/>
                <w:spacing w:val="9"/>
                <w:lang w:val="en-US" w:eastAsia="zh-CN"/>
              </w:rPr>
              <w:t>2</w:t>
            </w:r>
            <w:r>
              <w:rPr>
                <w:b/>
                <w:bCs/>
                <w:color w:val="auto"/>
                <w:spacing w:val="9"/>
              </w:rPr>
              <w:t>预测结果</w:t>
            </w:r>
          </w:p>
          <w:p w14:paraId="3670F671">
            <w:pPr>
              <w:spacing w:line="360" w:lineRule="auto"/>
              <w:ind w:firstLine="480" w:firstLineChars="200"/>
              <w:rPr>
                <w:color w:val="auto"/>
                <w:sz w:val="24"/>
                <w:szCs w:val="32"/>
              </w:rPr>
            </w:pPr>
            <w:r>
              <w:rPr>
                <w:color w:val="auto"/>
                <w:sz w:val="24"/>
                <w:szCs w:val="32"/>
              </w:rPr>
              <w:t>本项目昼间生产，采用上述公式预测结果见表4-1</w:t>
            </w:r>
            <w:r>
              <w:rPr>
                <w:rFonts w:hint="eastAsia"/>
                <w:color w:val="auto"/>
                <w:sz w:val="24"/>
                <w:szCs w:val="32"/>
                <w:lang w:val="en-US" w:eastAsia="zh-CN"/>
              </w:rPr>
              <w:t>5</w:t>
            </w:r>
            <w:r>
              <w:rPr>
                <w:color w:val="auto"/>
                <w:sz w:val="24"/>
                <w:szCs w:val="32"/>
              </w:rPr>
              <w:t>。</w:t>
            </w:r>
          </w:p>
          <w:p w14:paraId="5B348C56">
            <w:pPr>
              <w:pStyle w:val="56"/>
              <w:bidi w:val="0"/>
              <w:adjustRightInd/>
              <w:spacing w:line="240" w:lineRule="auto"/>
              <w:ind w:firstLine="0" w:firstLineChars="0"/>
              <w:rPr>
                <w:rFonts w:hint="eastAsia" w:ascii="Times New Roman" w:hAnsi="Times New Roman" w:cs="Times New Roman"/>
                <w:color w:val="auto"/>
                <w:spacing w:val="0"/>
                <w:kern w:val="0"/>
                <w:sz w:val="21"/>
                <w:szCs w:val="20"/>
                <w:highlight w:val="none"/>
                <w:lang w:val="en-US" w:eastAsia="zh-CN"/>
              </w:rPr>
            </w:pPr>
            <w:r>
              <w:rPr>
                <w:rFonts w:hint="eastAsia" w:ascii="Times New Roman" w:hAnsi="Times New Roman" w:cs="Times New Roman"/>
                <w:color w:val="auto"/>
                <w:spacing w:val="0"/>
                <w:kern w:val="0"/>
                <w:sz w:val="21"/>
                <w:szCs w:val="20"/>
                <w:highlight w:val="none"/>
                <w:lang w:val="en-US" w:eastAsia="zh-CN"/>
              </w:rPr>
              <w:t>表4-15  噪声的预测值    单位：dB（A）</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258"/>
              <w:gridCol w:w="1966"/>
              <w:gridCol w:w="1849"/>
              <w:gridCol w:w="1849"/>
            </w:tblGrid>
            <w:tr w14:paraId="4BC3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3" w:type="pct"/>
                  <w:noWrap w:val="0"/>
                  <w:vAlign w:val="center"/>
                </w:tcPr>
                <w:p w14:paraId="37960FF4">
                  <w:pPr>
                    <w:tabs>
                      <w:tab w:val="left" w:pos="825"/>
                    </w:tabs>
                    <w:adjustRightInd w:val="0"/>
                    <w:snapToGrid w:val="0"/>
                    <w:jc w:val="center"/>
                    <w:rPr>
                      <w:color w:val="auto"/>
                      <w:sz w:val="21"/>
                      <w:szCs w:val="21"/>
                    </w:rPr>
                  </w:pPr>
                  <w:r>
                    <w:rPr>
                      <w:color w:val="auto"/>
                      <w:sz w:val="21"/>
                      <w:szCs w:val="21"/>
                    </w:rPr>
                    <w:t>预测点位</w:t>
                  </w:r>
                </w:p>
              </w:tc>
              <w:tc>
                <w:tcPr>
                  <w:tcW w:w="664" w:type="pct"/>
                  <w:noWrap w:val="0"/>
                  <w:vAlign w:val="center"/>
                </w:tcPr>
                <w:p w14:paraId="595D2C8C">
                  <w:pPr>
                    <w:tabs>
                      <w:tab w:val="left" w:pos="825"/>
                    </w:tabs>
                    <w:adjustRightInd w:val="0"/>
                    <w:snapToGrid w:val="0"/>
                    <w:jc w:val="center"/>
                    <w:rPr>
                      <w:color w:val="auto"/>
                      <w:sz w:val="21"/>
                      <w:szCs w:val="21"/>
                    </w:rPr>
                  </w:pPr>
                  <w:r>
                    <w:rPr>
                      <w:color w:val="auto"/>
                      <w:sz w:val="21"/>
                      <w:szCs w:val="21"/>
                    </w:rPr>
                    <w:t>贡献值</w:t>
                  </w:r>
                </w:p>
              </w:tc>
              <w:tc>
                <w:tcPr>
                  <w:tcW w:w="1038" w:type="pct"/>
                  <w:noWrap w:val="0"/>
                  <w:vAlign w:val="center"/>
                </w:tcPr>
                <w:p w14:paraId="49E0A42C">
                  <w:pPr>
                    <w:autoSpaceDE w:val="0"/>
                    <w:autoSpaceDN w:val="0"/>
                    <w:adjustRightInd w:val="0"/>
                    <w:snapToGrid w:val="0"/>
                    <w:jc w:val="center"/>
                    <w:rPr>
                      <w:color w:val="auto"/>
                      <w:sz w:val="21"/>
                      <w:szCs w:val="21"/>
                    </w:rPr>
                  </w:pPr>
                  <w:r>
                    <w:rPr>
                      <w:color w:val="auto"/>
                      <w:sz w:val="21"/>
                      <w:szCs w:val="21"/>
                    </w:rPr>
                    <w:t>标准值（</w:t>
                  </w:r>
                  <w:r>
                    <w:rPr>
                      <w:color w:val="auto"/>
                      <w:kern w:val="0"/>
                      <w:sz w:val="21"/>
                      <w:szCs w:val="21"/>
                    </w:rPr>
                    <w:t>昼间</w:t>
                  </w:r>
                  <w:r>
                    <w:rPr>
                      <w:color w:val="auto"/>
                      <w:sz w:val="21"/>
                      <w:szCs w:val="21"/>
                    </w:rPr>
                    <w:t>）</w:t>
                  </w:r>
                </w:p>
              </w:tc>
              <w:tc>
                <w:tcPr>
                  <w:tcW w:w="976" w:type="pct"/>
                  <w:noWrap w:val="0"/>
                  <w:vAlign w:val="center"/>
                </w:tcPr>
                <w:p w14:paraId="58AA1A57">
                  <w:pPr>
                    <w:autoSpaceDE w:val="0"/>
                    <w:autoSpaceDN w:val="0"/>
                    <w:adjustRightInd w:val="0"/>
                    <w:snapToGrid w:val="0"/>
                    <w:jc w:val="center"/>
                    <w:rPr>
                      <w:color w:val="auto"/>
                      <w:sz w:val="21"/>
                      <w:szCs w:val="21"/>
                    </w:rPr>
                  </w:pPr>
                  <w:r>
                    <w:rPr>
                      <w:color w:val="auto"/>
                      <w:sz w:val="21"/>
                      <w:szCs w:val="21"/>
                    </w:rPr>
                    <w:t>标准值（</w:t>
                  </w:r>
                  <w:r>
                    <w:rPr>
                      <w:rFonts w:hint="eastAsia"/>
                      <w:color w:val="auto"/>
                      <w:kern w:val="0"/>
                      <w:sz w:val="21"/>
                      <w:szCs w:val="21"/>
                      <w:lang w:val="en-US" w:eastAsia="zh-CN"/>
                    </w:rPr>
                    <w:t>夜</w:t>
                  </w:r>
                  <w:r>
                    <w:rPr>
                      <w:color w:val="auto"/>
                      <w:kern w:val="0"/>
                      <w:sz w:val="21"/>
                      <w:szCs w:val="21"/>
                    </w:rPr>
                    <w:t>间</w:t>
                  </w:r>
                  <w:r>
                    <w:rPr>
                      <w:color w:val="auto"/>
                      <w:sz w:val="21"/>
                      <w:szCs w:val="21"/>
                    </w:rPr>
                    <w:t>）</w:t>
                  </w:r>
                </w:p>
              </w:tc>
              <w:tc>
                <w:tcPr>
                  <w:tcW w:w="976" w:type="pct"/>
                  <w:noWrap w:val="0"/>
                  <w:vAlign w:val="center"/>
                </w:tcPr>
                <w:p w14:paraId="1C2F27C7">
                  <w:pPr>
                    <w:autoSpaceDE w:val="0"/>
                    <w:autoSpaceDN w:val="0"/>
                    <w:adjustRightInd w:val="0"/>
                    <w:snapToGrid w:val="0"/>
                    <w:jc w:val="center"/>
                    <w:rPr>
                      <w:rFonts w:ascii="Times New Roman" w:hAnsi="Times New Roman" w:eastAsia="宋体" w:cs="Times New Roman"/>
                      <w:color w:val="auto"/>
                      <w:kern w:val="2"/>
                      <w:sz w:val="21"/>
                      <w:szCs w:val="21"/>
                      <w:lang w:val="en-US" w:eastAsia="zh-CN" w:bidi="ar-SA"/>
                    </w:rPr>
                  </w:pPr>
                  <w:r>
                    <w:rPr>
                      <w:color w:val="auto"/>
                      <w:sz w:val="21"/>
                      <w:szCs w:val="21"/>
                    </w:rPr>
                    <w:t>达标分析</w:t>
                  </w:r>
                </w:p>
              </w:tc>
            </w:tr>
            <w:tr w14:paraId="5EE3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3" w:type="pct"/>
                  <w:noWrap w:val="0"/>
                  <w:vAlign w:val="center"/>
                </w:tcPr>
                <w:p w14:paraId="0EF82B67">
                  <w:pPr>
                    <w:adjustRightInd w:val="0"/>
                    <w:snapToGrid w:val="0"/>
                    <w:jc w:val="center"/>
                    <w:rPr>
                      <w:color w:val="auto"/>
                      <w:kern w:val="0"/>
                      <w:sz w:val="21"/>
                      <w:szCs w:val="21"/>
                    </w:rPr>
                  </w:pPr>
                  <w:r>
                    <w:rPr>
                      <w:color w:val="auto"/>
                      <w:kern w:val="0"/>
                      <w:sz w:val="21"/>
                      <w:szCs w:val="21"/>
                    </w:rPr>
                    <w:t>1#（</w:t>
                  </w:r>
                  <w:r>
                    <w:rPr>
                      <w:color w:val="auto"/>
                      <w:sz w:val="21"/>
                      <w:szCs w:val="21"/>
                    </w:rPr>
                    <w:t>厂界东</w:t>
                  </w:r>
                  <w:r>
                    <w:rPr>
                      <w:color w:val="auto"/>
                      <w:kern w:val="0"/>
                      <w:sz w:val="21"/>
                      <w:szCs w:val="21"/>
                    </w:rPr>
                    <w:t>）</w:t>
                  </w:r>
                </w:p>
              </w:tc>
              <w:tc>
                <w:tcPr>
                  <w:tcW w:w="664" w:type="pct"/>
                  <w:noWrap w:val="0"/>
                  <w:vAlign w:val="center"/>
                </w:tcPr>
                <w:p w14:paraId="24FF50CA">
                  <w:pPr>
                    <w:adjustRightInd w:val="0"/>
                    <w:snapToGrid w:val="0"/>
                    <w:jc w:val="center"/>
                    <w:rPr>
                      <w:color w:val="auto"/>
                      <w:kern w:val="0"/>
                      <w:sz w:val="21"/>
                      <w:szCs w:val="21"/>
                    </w:rPr>
                  </w:pPr>
                  <w:r>
                    <w:rPr>
                      <w:rFonts w:hint="eastAsia"/>
                      <w:color w:val="auto"/>
                      <w:kern w:val="0"/>
                      <w:sz w:val="21"/>
                      <w:szCs w:val="21"/>
                      <w:lang w:val="en-US" w:eastAsia="zh-CN"/>
                    </w:rPr>
                    <w:t>49.5</w:t>
                  </w:r>
                  <w:r>
                    <w:rPr>
                      <w:color w:val="auto"/>
                      <w:kern w:val="0"/>
                      <w:sz w:val="21"/>
                      <w:szCs w:val="21"/>
                    </w:rPr>
                    <w:t>.5</w:t>
                  </w:r>
                </w:p>
              </w:tc>
              <w:tc>
                <w:tcPr>
                  <w:tcW w:w="1038" w:type="pct"/>
                  <w:noWrap w:val="0"/>
                  <w:vAlign w:val="center"/>
                </w:tcPr>
                <w:p w14:paraId="653A9595">
                  <w:pPr>
                    <w:adjustRightInd w:val="0"/>
                    <w:snapToGrid w:val="0"/>
                    <w:jc w:val="center"/>
                    <w:rPr>
                      <w:color w:val="auto"/>
                      <w:kern w:val="0"/>
                      <w:sz w:val="21"/>
                      <w:szCs w:val="21"/>
                    </w:rPr>
                  </w:pPr>
                  <w:r>
                    <w:rPr>
                      <w:color w:val="auto"/>
                      <w:kern w:val="0"/>
                      <w:sz w:val="21"/>
                      <w:szCs w:val="21"/>
                    </w:rPr>
                    <w:t>65</w:t>
                  </w:r>
                </w:p>
              </w:tc>
              <w:tc>
                <w:tcPr>
                  <w:tcW w:w="976" w:type="pct"/>
                  <w:noWrap w:val="0"/>
                  <w:vAlign w:val="center"/>
                </w:tcPr>
                <w:p w14:paraId="70969EBC">
                  <w:pPr>
                    <w:autoSpaceDE w:val="0"/>
                    <w:autoSpaceDN w:val="0"/>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55</w:t>
                  </w:r>
                </w:p>
              </w:tc>
              <w:tc>
                <w:tcPr>
                  <w:tcW w:w="976" w:type="pct"/>
                  <w:noWrap w:val="0"/>
                  <w:vAlign w:val="center"/>
                </w:tcPr>
                <w:p w14:paraId="7BDA682C">
                  <w:pPr>
                    <w:autoSpaceDE w:val="0"/>
                    <w:autoSpaceDN w:val="0"/>
                    <w:adjustRightInd w:val="0"/>
                    <w:snapToGrid w:val="0"/>
                    <w:jc w:val="center"/>
                    <w:rPr>
                      <w:rFonts w:ascii="Times New Roman" w:hAnsi="Times New Roman" w:eastAsia="宋体" w:cs="Times New Roman"/>
                      <w:color w:val="auto"/>
                      <w:kern w:val="2"/>
                      <w:sz w:val="21"/>
                      <w:szCs w:val="21"/>
                      <w:lang w:val="en-US" w:eastAsia="zh-CN" w:bidi="ar-SA"/>
                    </w:rPr>
                  </w:pPr>
                  <w:r>
                    <w:rPr>
                      <w:color w:val="auto"/>
                      <w:sz w:val="21"/>
                      <w:szCs w:val="21"/>
                    </w:rPr>
                    <w:t>达标</w:t>
                  </w:r>
                </w:p>
              </w:tc>
            </w:tr>
            <w:tr w14:paraId="35BE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3" w:type="pct"/>
                  <w:noWrap w:val="0"/>
                  <w:vAlign w:val="center"/>
                </w:tcPr>
                <w:p w14:paraId="0DD96987">
                  <w:pPr>
                    <w:adjustRightInd w:val="0"/>
                    <w:snapToGrid w:val="0"/>
                    <w:jc w:val="center"/>
                    <w:rPr>
                      <w:color w:val="auto"/>
                      <w:kern w:val="0"/>
                      <w:sz w:val="21"/>
                      <w:szCs w:val="21"/>
                    </w:rPr>
                  </w:pPr>
                  <w:r>
                    <w:rPr>
                      <w:color w:val="auto"/>
                      <w:kern w:val="0"/>
                      <w:sz w:val="21"/>
                      <w:szCs w:val="21"/>
                    </w:rPr>
                    <w:t>2#（</w:t>
                  </w:r>
                  <w:r>
                    <w:rPr>
                      <w:color w:val="auto"/>
                      <w:sz w:val="21"/>
                      <w:szCs w:val="21"/>
                    </w:rPr>
                    <w:t>厂界</w:t>
                  </w:r>
                  <w:r>
                    <w:rPr>
                      <w:color w:val="auto"/>
                      <w:kern w:val="0"/>
                      <w:sz w:val="21"/>
                      <w:szCs w:val="21"/>
                    </w:rPr>
                    <w:t>南）</w:t>
                  </w:r>
                </w:p>
              </w:tc>
              <w:tc>
                <w:tcPr>
                  <w:tcW w:w="664" w:type="pct"/>
                  <w:noWrap w:val="0"/>
                  <w:vAlign w:val="center"/>
                </w:tcPr>
                <w:p w14:paraId="3BEE844D">
                  <w:pPr>
                    <w:adjustRightInd w:val="0"/>
                    <w:snapToGrid w:val="0"/>
                    <w:jc w:val="center"/>
                    <w:rPr>
                      <w:color w:val="auto"/>
                      <w:kern w:val="0"/>
                      <w:sz w:val="21"/>
                      <w:szCs w:val="21"/>
                    </w:rPr>
                  </w:pPr>
                  <w:r>
                    <w:rPr>
                      <w:rFonts w:hint="eastAsia"/>
                      <w:color w:val="auto"/>
                      <w:kern w:val="0"/>
                      <w:sz w:val="21"/>
                      <w:szCs w:val="21"/>
                      <w:lang w:val="en-US" w:eastAsia="zh-CN"/>
                    </w:rPr>
                    <w:t>48.7</w:t>
                  </w:r>
                </w:p>
              </w:tc>
              <w:tc>
                <w:tcPr>
                  <w:tcW w:w="1038" w:type="pct"/>
                  <w:noWrap w:val="0"/>
                  <w:vAlign w:val="center"/>
                </w:tcPr>
                <w:p w14:paraId="11B30BF6">
                  <w:pPr>
                    <w:jc w:val="center"/>
                    <w:rPr>
                      <w:color w:val="auto"/>
                      <w:sz w:val="21"/>
                      <w:szCs w:val="21"/>
                    </w:rPr>
                  </w:pPr>
                  <w:r>
                    <w:rPr>
                      <w:color w:val="auto"/>
                      <w:kern w:val="0"/>
                      <w:sz w:val="21"/>
                      <w:szCs w:val="21"/>
                    </w:rPr>
                    <w:t>65</w:t>
                  </w:r>
                </w:p>
              </w:tc>
              <w:tc>
                <w:tcPr>
                  <w:tcW w:w="976" w:type="pct"/>
                  <w:noWrap w:val="0"/>
                  <w:vAlign w:val="center"/>
                </w:tcPr>
                <w:p w14:paraId="65253D31">
                  <w:pPr>
                    <w:autoSpaceDE w:val="0"/>
                    <w:autoSpaceDN w:val="0"/>
                    <w:adjustRightInd w:val="0"/>
                    <w:snapToGrid w:val="0"/>
                    <w:jc w:val="center"/>
                    <w:rPr>
                      <w:color w:val="auto"/>
                      <w:sz w:val="21"/>
                      <w:szCs w:val="21"/>
                    </w:rPr>
                  </w:pPr>
                  <w:r>
                    <w:rPr>
                      <w:rFonts w:hint="eastAsia"/>
                      <w:color w:val="auto"/>
                      <w:sz w:val="21"/>
                      <w:szCs w:val="21"/>
                      <w:lang w:val="en-US" w:eastAsia="zh-CN"/>
                    </w:rPr>
                    <w:t>55</w:t>
                  </w:r>
                </w:p>
              </w:tc>
              <w:tc>
                <w:tcPr>
                  <w:tcW w:w="976" w:type="pct"/>
                  <w:noWrap w:val="0"/>
                  <w:vAlign w:val="center"/>
                </w:tcPr>
                <w:p w14:paraId="4F39F7CE">
                  <w:pPr>
                    <w:autoSpaceDE w:val="0"/>
                    <w:autoSpaceDN w:val="0"/>
                    <w:adjustRightInd w:val="0"/>
                    <w:snapToGrid w:val="0"/>
                    <w:jc w:val="center"/>
                    <w:rPr>
                      <w:rFonts w:ascii="Times New Roman" w:hAnsi="Times New Roman" w:eastAsia="宋体" w:cs="Times New Roman"/>
                      <w:color w:val="auto"/>
                      <w:kern w:val="2"/>
                      <w:sz w:val="21"/>
                      <w:szCs w:val="21"/>
                      <w:lang w:val="en-US" w:eastAsia="zh-CN" w:bidi="ar-SA"/>
                    </w:rPr>
                  </w:pPr>
                  <w:r>
                    <w:rPr>
                      <w:color w:val="auto"/>
                      <w:sz w:val="21"/>
                      <w:szCs w:val="21"/>
                    </w:rPr>
                    <w:t>达标</w:t>
                  </w:r>
                </w:p>
              </w:tc>
            </w:tr>
            <w:tr w14:paraId="23A8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3" w:type="pct"/>
                  <w:noWrap w:val="0"/>
                  <w:vAlign w:val="center"/>
                </w:tcPr>
                <w:p w14:paraId="5F9932AE">
                  <w:pPr>
                    <w:adjustRightInd w:val="0"/>
                    <w:snapToGrid w:val="0"/>
                    <w:jc w:val="center"/>
                    <w:rPr>
                      <w:color w:val="auto"/>
                      <w:kern w:val="0"/>
                      <w:sz w:val="21"/>
                      <w:szCs w:val="21"/>
                    </w:rPr>
                  </w:pPr>
                  <w:r>
                    <w:rPr>
                      <w:color w:val="auto"/>
                      <w:kern w:val="0"/>
                      <w:sz w:val="21"/>
                      <w:szCs w:val="21"/>
                    </w:rPr>
                    <w:t>3#（</w:t>
                  </w:r>
                  <w:r>
                    <w:rPr>
                      <w:color w:val="auto"/>
                      <w:sz w:val="21"/>
                      <w:szCs w:val="21"/>
                    </w:rPr>
                    <w:t>厂界</w:t>
                  </w:r>
                  <w:r>
                    <w:rPr>
                      <w:color w:val="auto"/>
                      <w:kern w:val="0"/>
                      <w:sz w:val="21"/>
                      <w:szCs w:val="21"/>
                    </w:rPr>
                    <w:t>西）</w:t>
                  </w:r>
                </w:p>
              </w:tc>
              <w:tc>
                <w:tcPr>
                  <w:tcW w:w="664" w:type="pct"/>
                  <w:noWrap w:val="0"/>
                  <w:vAlign w:val="center"/>
                </w:tcPr>
                <w:p w14:paraId="1DB27889">
                  <w:pPr>
                    <w:adjustRightInd w:val="0"/>
                    <w:snapToGrid w:val="0"/>
                    <w:jc w:val="center"/>
                    <w:rPr>
                      <w:color w:val="auto"/>
                      <w:kern w:val="0"/>
                      <w:sz w:val="21"/>
                      <w:szCs w:val="21"/>
                    </w:rPr>
                  </w:pPr>
                  <w:r>
                    <w:rPr>
                      <w:color w:val="auto"/>
                      <w:kern w:val="0"/>
                      <w:sz w:val="21"/>
                      <w:szCs w:val="21"/>
                    </w:rPr>
                    <w:t>5</w:t>
                  </w:r>
                  <w:r>
                    <w:rPr>
                      <w:rFonts w:hint="eastAsia"/>
                      <w:color w:val="auto"/>
                      <w:kern w:val="0"/>
                      <w:sz w:val="21"/>
                      <w:szCs w:val="21"/>
                      <w:lang w:val="en-US" w:eastAsia="zh-CN"/>
                    </w:rPr>
                    <w:t>0</w:t>
                  </w:r>
                  <w:r>
                    <w:rPr>
                      <w:color w:val="auto"/>
                      <w:kern w:val="0"/>
                      <w:sz w:val="21"/>
                      <w:szCs w:val="21"/>
                    </w:rPr>
                    <w:t>.4</w:t>
                  </w:r>
                </w:p>
              </w:tc>
              <w:tc>
                <w:tcPr>
                  <w:tcW w:w="1038" w:type="pct"/>
                  <w:noWrap w:val="0"/>
                  <w:vAlign w:val="center"/>
                </w:tcPr>
                <w:p w14:paraId="202E12E9">
                  <w:pPr>
                    <w:jc w:val="center"/>
                    <w:rPr>
                      <w:color w:val="auto"/>
                      <w:sz w:val="21"/>
                      <w:szCs w:val="21"/>
                    </w:rPr>
                  </w:pPr>
                  <w:r>
                    <w:rPr>
                      <w:color w:val="auto"/>
                      <w:kern w:val="0"/>
                      <w:sz w:val="21"/>
                      <w:szCs w:val="21"/>
                    </w:rPr>
                    <w:t>65</w:t>
                  </w:r>
                </w:p>
              </w:tc>
              <w:tc>
                <w:tcPr>
                  <w:tcW w:w="976" w:type="pct"/>
                  <w:noWrap w:val="0"/>
                  <w:vAlign w:val="center"/>
                </w:tcPr>
                <w:p w14:paraId="4AF4E538">
                  <w:pPr>
                    <w:autoSpaceDE w:val="0"/>
                    <w:autoSpaceDN w:val="0"/>
                    <w:adjustRightInd w:val="0"/>
                    <w:snapToGrid w:val="0"/>
                    <w:jc w:val="center"/>
                    <w:rPr>
                      <w:color w:val="auto"/>
                      <w:sz w:val="21"/>
                      <w:szCs w:val="21"/>
                    </w:rPr>
                  </w:pPr>
                  <w:r>
                    <w:rPr>
                      <w:rFonts w:hint="eastAsia"/>
                      <w:color w:val="auto"/>
                      <w:sz w:val="21"/>
                      <w:szCs w:val="21"/>
                      <w:lang w:val="en-US" w:eastAsia="zh-CN"/>
                    </w:rPr>
                    <w:t>55</w:t>
                  </w:r>
                </w:p>
              </w:tc>
              <w:tc>
                <w:tcPr>
                  <w:tcW w:w="976" w:type="pct"/>
                  <w:noWrap w:val="0"/>
                  <w:vAlign w:val="center"/>
                </w:tcPr>
                <w:p w14:paraId="2DC20D96">
                  <w:pPr>
                    <w:autoSpaceDE w:val="0"/>
                    <w:autoSpaceDN w:val="0"/>
                    <w:adjustRightInd w:val="0"/>
                    <w:snapToGrid w:val="0"/>
                    <w:jc w:val="center"/>
                    <w:rPr>
                      <w:rFonts w:ascii="Times New Roman" w:hAnsi="Times New Roman" w:eastAsia="宋体" w:cs="Times New Roman"/>
                      <w:color w:val="auto"/>
                      <w:kern w:val="2"/>
                      <w:sz w:val="21"/>
                      <w:szCs w:val="21"/>
                      <w:lang w:val="en-US" w:eastAsia="zh-CN" w:bidi="ar-SA"/>
                    </w:rPr>
                  </w:pPr>
                  <w:r>
                    <w:rPr>
                      <w:color w:val="auto"/>
                      <w:sz w:val="21"/>
                      <w:szCs w:val="21"/>
                    </w:rPr>
                    <w:t>达标</w:t>
                  </w:r>
                </w:p>
              </w:tc>
            </w:tr>
            <w:tr w14:paraId="6D88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3" w:type="pct"/>
                  <w:noWrap w:val="0"/>
                  <w:vAlign w:val="center"/>
                </w:tcPr>
                <w:p w14:paraId="047AE6A7">
                  <w:pPr>
                    <w:adjustRightInd w:val="0"/>
                    <w:snapToGrid w:val="0"/>
                    <w:jc w:val="center"/>
                    <w:rPr>
                      <w:color w:val="auto"/>
                      <w:kern w:val="0"/>
                      <w:sz w:val="21"/>
                      <w:szCs w:val="21"/>
                    </w:rPr>
                  </w:pPr>
                  <w:r>
                    <w:rPr>
                      <w:color w:val="auto"/>
                      <w:kern w:val="0"/>
                      <w:sz w:val="21"/>
                      <w:szCs w:val="21"/>
                    </w:rPr>
                    <w:t>4#（</w:t>
                  </w:r>
                  <w:r>
                    <w:rPr>
                      <w:color w:val="auto"/>
                      <w:sz w:val="21"/>
                      <w:szCs w:val="21"/>
                    </w:rPr>
                    <w:t>厂界</w:t>
                  </w:r>
                  <w:r>
                    <w:rPr>
                      <w:color w:val="auto"/>
                      <w:kern w:val="0"/>
                      <w:sz w:val="21"/>
                      <w:szCs w:val="21"/>
                    </w:rPr>
                    <w:t>北）</w:t>
                  </w:r>
                </w:p>
              </w:tc>
              <w:tc>
                <w:tcPr>
                  <w:tcW w:w="664" w:type="pct"/>
                  <w:noWrap w:val="0"/>
                  <w:vAlign w:val="center"/>
                </w:tcPr>
                <w:p w14:paraId="75B8BA30">
                  <w:pPr>
                    <w:adjustRightInd w:val="0"/>
                    <w:snapToGrid w:val="0"/>
                    <w:jc w:val="center"/>
                    <w:rPr>
                      <w:color w:val="auto"/>
                      <w:kern w:val="0"/>
                      <w:sz w:val="21"/>
                      <w:szCs w:val="21"/>
                    </w:rPr>
                  </w:pPr>
                  <w:r>
                    <w:rPr>
                      <w:color w:val="auto"/>
                      <w:kern w:val="0"/>
                      <w:sz w:val="21"/>
                      <w:szCs w:val="21"/>
                    </w:rPr>
                    <w:t>5</w:t>
                  </w:r>
                  <w:r>
                    <w:rPr>
                      <w:rFonts w:hint="eastAsia"/>
                      <w:color w:val="auto"/>
                      <w:kern w:val="0"/>
                      <w:sz w:val="21"/>
                      <w:szCs w:val="21"/>
                      <w:lang w:val="en-US" w:eastAsia="zh-CN"/>
                    </w:rPr>
                    <w:t>1</w:t>
                  </w:r>
                  <w:r>
                    <w:rPr>
                      <w:color w:val="auto"/>
                      <w:kern w:val="0"/>
                      <w:sz w:val="21"/>
                      <w:szCs w:val="21"/>
                    </w:rPr>
                    <w:t>.5</w:t>
                  </w:r>
                </w:p>
              </w:tc>
              <w:tc>
                <w:tcPr>
                  <w:tcW w:w="1038" w:type="pct"/>
                  <w:noWrap w:val="0"/>
                  <w:vAlign w:val="center"/>
                </w:tcPr>
                <w:p w14:paraId="31D8A3DD">
                  <w:pPr>
                    <w:jc w:val="center"/>
                    <w:rPr>
                      <w:color w:val="auto"/>
                      <w:sz w:val="21"/>
                      <w:szCs w:val="21"/>
                    </w:rPr>
                  </w:pPr>
                  <w:r>
                    <w:rPr>
                      <w:color w:val="auto"/>
                      <w:kern w:val="0"/>
                      <w:sz w:val="21"/>
                      <w:szCs w:val="21"/>
                    </w:rPr>
                    <w:t>65</w:t>
                  </w:r>
                </w:p>
              </w:tc>
              <w:tc>
                <w:tcPr>
                  <w:tcW w:w="976" w:type="pct"/>
                  <w:noWrap w:val="0"/>
                  <w:vAlign w:val="center"/>
                </w:tcPr>
                <w:p w14:paraId="7BE20EFB">
                  <w:pPr>
                    <w:autoSpaceDE w:val="0"/>
                    <w:autoSpaceDN w:val="0"/>
                    <w:adjustRightInd w:val="0"/>
                    <w:snapToGrid w:val="0"/>
                    <w:jc w:val="center"/>
                    <w:rPr>
                      <w:color w:val="auto"/>
                      <w:sz w:val="21"/>
                      <w:szCs w:val="21"/>
                    </w:rPr>
                  </w:pPr>
                  <w:r>
                    <w:rPr>
                      <w:rFonts w:hint="eastAsia"/>
                      <w:color w:val="auto"/>
                      <w:sz w:val="21"/>
                      <w:szCs w:val="21"/>
                      <w:lang w:val="en-US" w:eastAsia="zh-CN"/>
                    </w:rPr>
                    <w:t>55</w:t>
                  </w:r>
                </w:p>
              </w:tc>
              <w:tc>
                <w:tcPr>
                  <w:tcW w:w="976" w:type="pct"/>
                  <w:noWrap w:val="0"/>
                  <w:vAlign w:val="center"/>
                </w:tcPr>
                <w:p w14:paraId="7CADB774">
                  <w:pPr>
                    <w:autoSpaceDE w:val="0"/>
                    <w:autoSpaceDN w:val="0"/>
                    <w:adjustRightInd w:val="0"/>
                    <w:snapToGrid w:val="0"/>
                    <w:jc w:val="center"/>
                    <w:rPr>
                      <w:rFonts w:ascii="Times New Roman" w:hAnsi="Times New Roman" w:eastAsia="宋体" w:cs="Times New Roman"/>
                      <w:color w:val="auto"/>
                      <w:kern w:val="2"/>
                      <w:sz w:val="21"/>
                      <w:szCs w:val="21"/>
                      <w:lang w:val="en-US" w:eastAsia="zh-CN" w:bidi="ar-SA"/>
                    </w:rPr>
                  </w:pPr>
                  <w:r>
                    <w:rPr>
                      <w:color w:val="auto"/>
                      <w:sz w:val="21"/>
                      <w:szCs w:val="21"/>
                    </w:rPr>
                    <w:t>达标</w:t>
                  </w:r>
                </w:p>
              </w:tc>
            </w:tr>
          </w:tbl>
          <w:p w14:paraId="438BB783">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由预测分析结果可知，建设项目厂界噪声的昼夜贡献值满足《工业企业厂界环境噪声排放标准》（GB12348-2008）中3类标准要求。</w:t>
            </w:r>
          </w:p>
          <w:p w14:paraId="251BB239">
            <w:pPr>
              <w:spacing w:line="500" w:lineRule="atLeast"/>
              <w:ind w:firstLine="482" w:firstLineChars="200"/>
              <w:jc w:val="left"/>
              <w:rPr>
                <w:b/>
                <w:bCs/>
                <w:color w:val="auto"/>
                <w:sz w:val="24"/>
              </w:rPr>
            </w:pPr>
            <w:r>
              <w:rPr>
                <w:rFonts w:hint="eastAsia"/>
                <w:b/>
                <w:bCs/>
                <w:color w:val="auto"/>
                <w:sz w:val="24"/>
                <w:lang w:val="en-US" w:eastAsia="zh-CN"/>
              </w:rPr>
              <w:t>3.3</w:t>
            </w:r>
            <w:r>
              <w:rPr>
                <w:b/>
                <w:bCs/>
                <w:color w:val="auto"/>
                <w:sz w:val="24"/>
              </w:rPr>
              <w:t>降噪措施情况分析</w:t>
            </w:r>
          </w:p>
          <w:p w14:paraId="39FFC69F">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本项目的噪声源主要为生产设备运行噪声，这些噪声源经相应的降噪措施处理后通过建筑物门窗、墙壁的吸收、屏蔽及阻挡作用，将会大幅度地衰减。具体可采取的治理措施如下：</w:t>
            </w:r>
          </w:p>
          <w:p w14:paraId="63326AE9">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（1）合理布局：项目将破碎机、筛分机、造粒机、冷却塔等高噪声设备尽量布置在厂区中部，通过距离衰减减轻噪声对外环境的影响。</w:t>
            </w:r>
          </w:p>
          <w:p w14:paraId="78BB436B">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（2）选择低噪声设备：项目在满足工艺设计的前提下，尽量选用满足国际标准的低噪声、低振动型号的设备，降低噪声源强。</w:t>
            </w:r>
          </w:p>
          <w:p w14:paraId="09AC314B">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（3）隔声、减震或加消声器：建设单位根据噪声产生的性质可分为机械运动噪声，根据其产生的性质和机理不同分别采用了隔声、减振等方式进行了降噪处理。对</w:t>
            </w:r>
            <w:r>
              <w:rPr>
                <w:rFonts w:hint="eastAsia" w:cs="Times New Roman"/>
                <w:color w:val="auto"/>
                <w:sz w:val="24"/>
                <w:lang w:val="en-US" w:eastAsia="zh-CN"/>
              </w:rPr>
              <w:t>混合机、等离子机</w:t>
            </w:r>
            <w:r>
              <w:rPr>
                <w:rFonts w:hint="eastAsia" w:ascii="Times New Roman" w:hAnsi="Times New Roman" w:eastAsia="宋体" w:cs="Times New Roman"/>
                <w:color w:val="auto"/>
                <w:sz w:val="24"/>
                <w:lang w:val="en-US" w:eastAsia="zh-CN"/>
              </w:rPr>
              <w:t>等设备设置台基减震、橡胶减震接头及减震垫等减震设施，减轻对厂界周边的影响。</w:t>
            </w:r>
          </w:p>
          <w:p w14:paraId="0F0285BD">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强化生产管理：确保降噪设施的有效运行，并加强对生产设备的保养、检修与润滑，保证设备处于良好的运转状态。加强员工环保意识教育，提倡文明生产，防止人为噪声；强化行车管理制度，设置降噪标准，严禁鸣号，进入厂区低速行驶，最大限度减少流动噪声源。</w:t>
            </w:r>
          </w:p>
          <w:p w14:paraId="0F8E2395">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经上述治理措施后，可满足保护操作工人的身心健康需要，加上围墙隔音及距离衰减，能够做到厂界达标。在采取生产车间合理布局，设置台基减震、橡胶减震接头及减震垫等减震设施等噪声防治措施等前提下，厂界可以满足《工业企业厂界环境噪声排放标准》（GB12348-2008）中3类标准要求。项目噪声对区域声环境影响较小。</w:t>
            </w:r>
          </w:p>
          <w:p w14:paraId="703545D7">
            <w:pPr>
              <w:spacing w:line="500" w:lineRule="exact"/>
              <w:ind w:firstLine="482" w:firstLineChars="200"/>
              <w:rPr>
                <w:rFonts w:hint="eastAsia" w:ascii="Times New Roman" w:hAnsi="宋体" w:eastAsia="宋体" w:cs="Times New Roman"/>
                <w:b/>
                <w:bCs/>
                <w:color w:val="auto"/>
                <w:sz w:val="24"/>
              </w:rPr>
            </w:pPr>
            <w:r>
              <w:rPr>
                <w:rFonts w:hint="eastAsia" w:ascii="Times New Roman" w:hAnsi="宋体" w:eastAsia="宋体" w:cs="Times New Roman"/>
                <w:b/>
                <w:bCs/>
                <w:color w:val="auto"/>
                <w:sz w:val="24"/>
              </w:rPr>
              <w:t>3.</w:t>
            </w:r>
            <w:r>
              <w:rPr>
                <w:rFonts w:hint="eastAsia" w:ascii="Times New Roman" w:hAnsi="宋体" w:eastAsia="宋体" w:cs="Times New Roman"/>
                <w:b/>
                <w:bCs/>
                <w:color w:val="auto"/>
                <w:sz w:val="24"/>
                <w:lang w:val="en-US" w:eastAsia="zh-CN"/>
              </w:rPr>
              <w:t>4</w:t>
            </w:r>
            <w:r>
              <w:rPr>
                <w:rFonts w:hint="eastAsia" w:ascii="Times New Roman" w:hAnsi="宋体" w:eastAsia="宋体" w:cs="Times New Roman"/>
                <w:b/>
                <w:bCs/>
                <w:color w:val="auto"/>
                <w:sz w:val="24"/>
              </w:rPr>
              <w:t xml:space="preserve"> 自行监测要求</w:t>
            </w:r>
          </w:p>
          <w:p w14:paraId="56D76DB4">
            <w:pPr>
              <w:spacing w:line="500" w:lineRule="exact"/>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项目监测频次根据《排污单位自行监测技术指南 总则》(HJ 819-2017)确定，环境监测计划详见下表。</w:t>
            </w:r>
          </w:p>
          <w:p w14:paraId="6C574696">
            <w:pPr>
              <w:pStyle w:val="56"/>
              <w:bidi w:val="0"/>
              <w:adjustRightInd/>
              <w:spacing w:line="240" w:lineRule="auto"/>
              <w:ind w:firstLine="0" w:firstLineChars="0"/>
              <w:rPr>
                <w:rFonts w:hint="eastAsia" w:ascii="Times New Roman" w:hAnsi="Times New Roman" w:cs="Times New Roman"/>
                <w:color w:val="auto"/>
                <w:spacing w:val="0"/>
                <w:kern w:val="0"/>
                <w:sz w:val="21"/>
                <w:szCs w:val="20"/>
                <w:highlight w:val="none"/>
              </w:rPr>
            </w:pPr>
            <w:r>
              <w:rPr>
                <w:rFonts w:hint="eastAsia" w:ascii="Times New Roman" w:hAnsi="Times New Roman" w:cs="Times New Roman"/>
                <w:color w:val="auto"/>
                <w:spacing w:val="0"/>
                <w:kern w:val="0"/>
                <w:sz w:val="21"/>
                <w:szCs w:val="20"/>
                <w:highlight w:val="none"/>
              </w:rPr>
              <w:t>表4-1</w:t>
            </w:r>
            <w:r>
              <w:rPr>
                <w:rFonts w:hint="eastAsia" w:ascii="Times New Roman" w:hAnsi="Times New Roman" w:cs="Times New Roman"/>
                <w:color w:val="auto"/>
                <w:spacing w:val="0"/>
                <w:kern w:val="0"/>
                <w:sz w:val="21"/>
                <w:szCs w:val="20"/>
                <w:highlight w:val="none"/>
                <w:lang w:val="en-US" w:eastAsia="zh-CN"/>
              </w:rPr>
              <w:t xml:space="preserve">8 </w:t>
            </w:r>
            <w:r>
              <w:rPr>
                <w:rFonts w:hint="eastAsia" w:ascii="Times New Roman" w:hAnsi="Times New Roman" w:cs="Times New Roman"/>
                <w:color w:val="auto"/>
                <w:spacing w:val="0"/>
                <w:kern w:val="0"/>
                <w:sz w:val="21"/>
                <w:szCs w:val="20"/>
                <w:highlight w:val="none"/>
              </w:rPr>
              <w:t xml:space="preserve"> 噪声自行监测计划</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169"/>
              <w:gridCol w:w="1454"/>
              <w:gridCol w:w="4014"/>
            </w:tblGrid>
            <w:tr w14:paraId="2EAE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536" w:type="dxa"/>
                  <w:noWrap w:val="0"/>
                  <w:vAlign w:val="center"/>
                </w:tcPr>
                <w:p w14:paraId="17543598">
                  <w:pPr>
                    <w:adjustRightInd w:val="0"/>
                    <w:snapToGrid w:val="0"/>
                    <w:spacing w:line="240" w:lineRule="atLeast"/>
                    <w:jc w:val="center"/>
                    <w:rPr>
                      <w:b/>
                      <w:bCs/>
                      <w:color w:val="auto"/>
                      <w:sz w:val="21"/>
                      <w:szCs w:val="21"/>
                    </w:rPr>
                  </w:pPr>
                  <w:r>
                    <w:rPr>
                      <w:b/>
                      <w:bCs/>
                      <w:color w:val="auto"/>
                      <w:sz w:val="21"/>
                      <w:szCs w:val="21"/>
                    </w:rPr>
                    <w:t>监测点位</w:t>
                  </w:r>
                </w:p>
              </w:tc>
              <w:tc>
                <w:tcPr>
                  <w:tcW w:w="1819" w:type="dxa"/>
                  <w:noWrap w:val="0"/>
                  <w:vAlign w:val="center"/>
                </w:tcPr>
                <w:p w14:paraId="7BE61F22">
                  <w:pPr>
                    <w:adjustRightInd w:val="0"/>
                    <w:snapToGrid w:val="0"/>
                    <w:spacing w:line="240" w:lineRule="atLeast"/>
                    <w:jc w:val="center"/>
                    <w:rPr>
                      <w:b/>
                      <w:bCs/>
                      <w:color w:val="auto"/>
                      <w:sz w:val="21"/>
                      <w:szCs w:val="21"/>
                    </w:rPr>
                  </w:pPr>
                  <w:r>
                    <w:rPr>
                      <w:b/>
                      <w:bCs/>
                      <w:color w:val="auto"/>
                      <w:sz w:val="21"/>
                      <w:szCs w:val="21"/>
                    </w:rPr>
                    <w:t>监测因子</w:t>
                  </w:r>
                </w:p>
              </w:tc>
              <w:tc>
                <w:tcPr>
                  <w:tcW w:w="1219" w:type="dxa"/>
                  <w:noWrap w:val="0"/>
                  <w:vAlign w:val="center"/>
                </w:tcPr>
                <w:p w14:paraId="054CA21F">
                  <w:pPr>
                    <w:adjustRightInd w:val="0"/>
                    <w:snapToGrid w:val="0"/>
                    <w:spacing w:line="240" w:lineRule="atLeast"/>
                    <w:jc w:val="center"/>
                    <w:rPr>
                      <w:b/>
                      <w:bCs/>
                      <w:color w:val="auto"/>
                      <w:sz w:val="21"/>
                      <w:szCs w:val="21"/>
                    </w:rPr>
                  </w:pPr>
                  <w:r>
                    <w:rPr>
                      <w:b/>
                      <w:bCs/>
                      <w:color w:val="auto"/>
                      <w:sz w:val="21"/>
                      <w:szCs w:val="21"/>
                    </w:rPr>
                    <w:t>监测频次</w:t>
                  </w:r>
                </w:p>
              </w:tc>
              <w:tc>
                <w:tcPr>
                  <w:tcW w:w="3366" w:type="dxa"/>
                  <w:noWrap w:val="0"/>
                  <w:vAlign w:val="center"/>
                </w:tcPr>
                <w:p w14:paraId="2B2FB9A1">
                  <w:pPr>
                    <w:adjustRightInd w:val="0"/>
                    <w:snapToGrid w:val="0"/>
                    <w:spacing w:line="240" w:lineRule="atLeast"/>
                    <w:jc w:val="center"/>
                    <w:rPr>
                      <w:b/>
                      <w:bCs/>
                      <w:color w:val="auto"/>
                      <w:sz w:val="21"/>
                      <w:szCs w:val="21"/>
                    </w:rPr>
                  </w:pPr>
                  <w:r>
                    <w:rPr>
                      <w:b/>
                      <w:bCs/>
                      <w:color w:val="auto"/>
                      <w:sz w:val="21"/>
                      <w:szCs w:val="21"/>
                    </w:rPr>
                    <w:t>执行标准</w:t>
                  </w:r>
                </w:p>
              </w:tc>
            </w:tr>
            <w:tr w14:paraId="0661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536" w:type="dxa"/>
                  <w:noWrap w:val="0"/>
                  <w:vAlign w:val="center"/>
                </w:tcPr>
                <w:p w14:paraId="3B1E6205">
                  <w:pPr>
                    <w:adjustRightInd w:val="0"/>
                    <w:snapToGrid w:val="0"/>
                    <w:spacing w:line="240" w:lineRule="atLeast"/>
                    <w:jc w:val="center"/>
                    <w:textAlignment w:val="baseline"/>
                    <w:rPr>
                      <w:color w:val="auto"/>
                      <w:sz w:val="21"/>
                      <w:szCs w:val="21"/>
                    </w:rPr>
                  </w:pPr>
                  <w:r>
                    <w:rPr>
                      <w:color w:val="auto"/>
                      <w:sz w:val="21"/>
                      <w:szCs w:val="21"/>
                    </w:rPr>
                    <w:t>项目厂界四周</w:t>
                  </w:r>
                </w:p>
              </w:tc>
              <w:tc>
                <w:tcPr>
                  <w:tcW w:w="1819" w:type="dxa"/>
                  <w:noWrap w:val="0"/>
                  <w:vAlign w:val="center"/>
                </w:tcPr>
                <w:p w14:paraId="175F40FC">
                  <w:pPr>
                    <w:adjustRightInd w:val="0"/>
                    <w:snapToGrid w:val="0"/>
                    <w:spacing w:line="240" w:lineRule="atLeast"/>
                    <w:jc w:val="center"/>
                    <w:textAlignment w:val="baseline"/>
                    <w:rPr>
                      <w:color w:val="auto"/>
                      <w:sz w:val="21"/>
                      <w:szCs w:val="21"/>
                    </w:rPr>
                  </w:pPr>
                  <w:r>
                    <w:rPr>
                      <w:color w:val="auto"/>
                      <w:sz w:val="21"/>
                      <w:szCs w:val="21"/>
                    </w:rPr>
                    <w:t>Leq(A)</w:t>
                  </w:r>
                </w:p>
              </w:tc>
              <w:tc>
                <w:tcPr>
                  <w:tcW w:w="1219" w:type="dxa"/>
                  <w:noWrap w:val="0"/>
                  <w:vAlign w:val="center"/>
                </w:tcPr>
                <w:p w14:paraId="0748E220">
                  <w:pPr>
                    <w:adjustRightInd w:val="0"/>
                    <w:snapToGrid w:val="0"/>
                    <w:spacing w:line="240" w:lineRule="atLeast"/>
                    <w:jc w:val="center"/>
                    <w:textAlignment w:val="baseline"/>
                    <w:rPr>
                      <w:rFonts w:hint="eastAsia"/>
                      <w:color w:val="auto"/>
                      <w:sz w:val="21"/>
                      <w:szCs w:val="21"/>
                    </w:rPr>
                  </w:pPr>
                  <w:r>
                    <w:rPr>
                      <w:color w:val="auto"/>
                      <w:sz w:val="21"/>
                      <w:szCs w:val="21"/>
                    </w:rPr>
                    <w:t>1次/</w:t>
                  </w:r>
                  <w:r>
                    <w:rPr>
                      <w:rFonts w:hint="eastAsia"/>
                      <w:color w:val="auto"/>
                      <w:sz w:val="21"/>
                      <w:szCs w:val="21"/>
                    </w:rPr>
                    <w:t>季度</w:t>
                  </w:r>
                </w:p>
              </w:tc>
              <w:tc>
                <w:tcPr>
                  <w:tcW w:w="3366" w:type="dxa"/>
                  <w:noWrap w:val="0"/>
                  <w:vAlign w:val="center"/>
                </w:tcPr>
                <w:p w14:paraId="6458FFFB">
                  <w:pPr>
                    <w:adjustRightInd w:val="0"/>
                    <w:snapToGrid w:val="0"/>
                    <w:spacing w:line="240" w:lineRule="atLeast"/>
                    <w:jc w:val="center"/>
                    <w:textAlignment w:val="baseline"/>
                    <w:rPr>
                      <w:color w:val="auto"/>
                      <w:sz w:val="21"/>
                      <w:szCs w:val="21"/>
                    </w:rPr>
                  </w:pPr>
                  <w:r>
                    <w:rPr>
                      <w:color w:val="auto"/>
                      <w:sz w:val="21"/>
                      <w:szCs w:val="21"/>
                    </w:rPr>
                    <w:t>《工业企业厂界环境噪声排放标准》（GB12348-2008）中的3类标准</w:t>
                  </w:r>
                </w:p>
              </w:tc>
            </w:tr>
          </w:tbl>
          <w:p w14:paraId="5BACD5EE">
            <w:pPr>
              <w:tabs>
                <w:tab w:val="left" w:pos="6645"/>
              </w:tabs>
              <w:adjustRightInd w:val="0"/>
              <w:snapToGrid w:val="0"/>
              <w:spacing w:line="500" w:lineRule="exact"/>
              <w:ind w:firstLine="482" w:firstLineChars="200"/>
              <w:rPr>
                <w:b/>
                <w:color w:val="auto"/>
                <w:sz w:val="24"/>
              </w:rPr>
            </w:pPr>
            <w:r>
              <w:rPr>
                <w:rFonts w:hint="eastAsia"/>
                <w:b/>
                <w:color w:val="auto"/>
                <w:sz w:val="24"/>
              </w:rPr>
              <w:t>四</w:t>
            </w:r>
            <w:r>
              <w:rPr>
                <w:b/>
                <w:color w:val="auto"/>
                <w:sz w:val="24"/>
              </w:rPr>
              <w:t>、固体废物</w:t>
            </w:r>
          </w:p>
          <w:p w14:paraId="027A6128">
            <w:pPr>
              <w:spacing w:line="500" w:lineRule="exact"/>
              <w:ind w:firstLine="480" w:firstLineChars="200"/>
              <w:rPr>
                <w:color w:val="auto"/>
                <w:sz w:val="24"/>
              </w:rPr>
            </w:pPr>
            <w:r>
              <w:rPr>
                <w:rFonts w:hint="eastAsia"/>
                <w:color w:val="auto"/>
                <w:sz w:val="24"/>
              </w:rPr>
              <w:t>1、固废产生情况</w:t>
            </w:r>
          </w:p>
          <w:p w14:paraId="7443052B">
            <w:pPr>
              <w:spacing w:line="500" w:lineRule="exact"/>
              <w:ind w:firstLine="480" w:firstLineChars="200"/>
              <w:rPr>
                <w:color w:val="auto"/>
                <w:sz w:val="24"/>
              </w:rPr>
            </w:pPr>
            <w:r>
              <w:rPr>
                <w:rFonts w:hint="eastAsia"/>
                <w:color w:val="auto"/>
                <w:sz w:val="24"/>
              </w:rPr>
              <w:t>本项目的固体废物主要是废机油、废机油桶、</w:t>
            </w:r>
            <w:r>
              <w:rPr>
                <w:rFonts w:hint="eastAsia"/>
                <w:color w:val="auto"/>
                <w:sz w:val="24"/>
                <w:lang w:val="en-US" w:eastAsia="zh-CN"/>
              </w:rPr>
              <w:t>废原辅料包装袋</w:t>
            </w:r>
            <w:r>
              <w:rPr>
                <w:rFonts w:hint="eastAsia"/>
                <w:color w:val="auto"/>
                <w:sz w:val="24"/>
              </w:rPr>
              <w:t>、以及工作人员产生的生活垃圾。</w:t>
            </w:r>
          </w:p>
          <w:p w14:paraId="6CE5FCE1">
            <w:pPr>
              <w:spacing w:line="500" w:lineRule="exact"/>
              <w:ind w:firstLine="480" w:firstLineChars="200"/>
              <w:rPr>
                <w:color w:val="auto"/>
                <w:sz w:val="24"/>
              </w:rPr>
            </w:pPr>
            <w:r>
              <w:rPr>
                <w:rFonts w:hint="eastAsia"/>
                <w:color w:val="auto"/>
                <w:sz w:val="24"/>
              </w:rPr>
              <w:t>（1）</w:t>
            </w:r>
            <w:r>
              <w:rPr>
                <w:color w:val="auto"/>
                <w:sz w:val="24"/>
              </w:rPr>
              <w:t>废机油</w:t>
            </w:r>
          </w:p>
          <w:p w14:paraId="670F5E7F">
            <w:pPr>
              <w:spacing w:line="500" w:lineRule="exact"/>
              <w:ind w:firstLine="480"/>
              <w:jc w:val="left"/>
              <w:rPr>
                <w:color w:val="auto"/>
                <w:sz w:val="24"/>
              </w:rPr>
            </w:pPr>
            <w:r>
              <w:rPr>
                <w:rFonts w:hint="eastAsia"/>
                <w:color w:val="auto"/>
                <w:sz w:val="24"/>
              </w:rPr>
              <w:t>设备维护维修产生的废机油，据企业提供资料产生量约为0</w:t>
            </w:r>
            <w:r>
              <w:rPr>
                <w:color w:val="auto"/>
                <w:sz w:val="24"/>
              </w:rPr>
              <w:t>.1t/a</w:t>
            </w:r>
            <w:r>
              <w:rPr>
                <w:rFonts w:hint="eastAsia"/>
                <w:color w:val="auto"/>
                <w:sz w:val="24"/>
              </w:rPr>
              <w:t>，</w:t>
            </w:r>
            <w:r>
              <w:rPr>
                <w:color w:val="auto"/>
                <w:sz w:val="24"/>
              </w:rPr>
              <w:t>属于危险废物，危险废物类别HW08 900-214-08</w:t>
            </w:r>
            <w:r>
              <w:rPr>
                <w:rFonts w:hint="eastAsia"/>
                <w:color w:val="auto"/>
                <w:sz w:val="24"/>
              </w:rPr>
              <w:t>，</w:t>
            </w:r>
            <w:r>
              <w:rPr>
                <w:color w:val="auto"/>
                <w:sz w:val="24"/>
              </w:rPr>
              <w:t>收集后暂存于危废暂存间，定期交有资质单位处置。</w:t>
            </w:r>
          </w:p>
          <w:p w14:paraId="3C500F4D">
            <w:pPr>
              <w:spacing w:line="500" w:lineRule="exact"/>
              <w:ind w:firstLine="480" w:firstLineChars="200"/>
              <w:rPr>
                <w:color w:val="auto"/>
                <w:sz w:val="24"/>
              </w:rPr>
            </w:pPr>
            <w:r>
              <w:rPr>
                <w:rFonts w:hint="eastAsia"/>
                <w:color w:val="auto"/>
                <w:sz w:val="24"/>
              </w:rPr>
              <w:t>（2）废机油桶</w:t>
            </w:r>
          </w:p>
          <w:p w14:paraId="04A8EF23">
            <w:pPr>
              <w:spacing w:line="500" w:lineRule="exact"/>
              <w:ind w:firstLine="480" w:firstLineChars="200"/>
              <w:rPr>
                <w:color w:val="auto"/>
                <w:sz w:val="24"/>
              </w:rPr>
            </w:pPr>
            <w:r>
              <w:rPr>
                <w:rFonts w:hint="eastAsia"/>
                <w:color w:val="auto"/>
                <w:sz w:val="24"/>
              </w:rPr>
              <w:t>设备维护维修产生的废机油桶，据企业提供资料产生量约为</w:t>
            </w:r>
            <w:r>
              <w:rPr>
                <w:color w:val="auto"/>
                <w:sz w:val="24"/>
              </w:rPr>
              <w:t>0.01t/a</w:t>
            </w:r>
            <w:r>
              <w:rPr>
                <w:rFonts w:hint="eastAsia"/>
                <w:color w:val="auto"/>
                <w:sz w:val="24"/>
              </w:rPr>
              <w:t>，属于危险废物，危险废物类别HW08</w:t>
            </w:r>
            <w:r>
              <w:rPr>
                <w:color w:val="auto"/>
                <w:sz w:val="24"/>
              </w:rPr>
              <w:t xml:space="preserve"> 900-249-08</w:t>
            </w:r>
            <w:r>
              <w:rPr>
                <w:rFonts w:hint="eastAsia"/>
                <w:color w:val="auto"/>
                <w:sz w:val="24"/>
              </w:rPr>
              <w:t>，收集后暂存于危废库，定期交有资质单位处置。</w:t>
            </w:r>
          </w:p>
          <w:p w14:paraId="4EFFABFB">
            <w:pPr>
              <w:numPr>
                <w:ilvl w:val="-1"/>
                <w:numId w:val="0"/>
              </w:numPr>
              <w:spacing w:line="500" w:lineRule="exact"/>
              <w:ind w:firstLine="480" w:firstLineChars="200"/>
              <w:rPr>
                <w:rFonts w:hint="eastAsia"/>
                <w:color w:val="auto"/>
                <w:sz w:val="24"/>
                <w:lang w:val="en-US" w:eastAsia="zh-CN"/>
              </w:rPr>
            </w:pPr>
            <w:r>
              <w:rPr>
                <w:rFonts w:hint="eastAsia"/>
                <w:color w:val="auto"/>
                <w:sz w:val="24"/>
                <w:lang w:val="en-US" w:eastAsia="zh-CN"/>
              </w:rPr>
              <w:t>（3）废原辅料包装袋</w:t>
            </w:r>
          </w:p>
          <w:p w14:paraId="18E091B5">
            <w:pPr>
              <w:spacing w:line="500" w:lineRule="exact"/>
              <w:ind w:firstLine="480" w:firstLineChars="200"/>
              <w:jc w:val="left"/>
              <w:rPr>
                <w:rFonts w:hint="eastAsia"/>
                <w:color w:val="auto"/>
                <w:sz w:val="24"/>
              </w:rPr>
            </w:pPr>
            <w:r>
              <w:rPr>
                <w:rFonts w:hint="eastAsia"/>
                <w:color w:val="auto"/>
                <w:sz w:val="24"/>
                <w:lang w:val="en-US" w:eastAsia="zh-CN"/>
              </w:rPr>
              <w:t>本项目所使用的原辅料均为袋装，投料环节会产生废包装袋，根据企业提供的资料，产</w:t>
            </w:r>
            <w:r>
              <w:rPr>
                <w:rFonts w:hint="eastAsia"/>
                <w:bCs w:val="0"/>
                <w:color w:val="auto"/>
                <w:sz w:val="24"/>
                <w:szCs w:val="24"/>
                <w:lang w:val="en-US" w:eastAsia="zh-CN"/>
              </w:rPr>
              <w:t>量约为0.01</w:t>
            </w:r>
            <w:r>
              <w:rPr>
                <w:rFonts w:hint="eastAsia"/>
                <w:bCs w:val="0"/>
                <w:color w:val="auto"/>
                <w:sz w:val="24"/>
                <w:szCs w:val="24"/>
              </w:rPr>
              <w:t>t/a</w:t>
            </w:r>
            <w:r>
              <w:rPr>
                <w:rFonts w:hint="eastAsia"/>
                <w:bCs w:val="0"/>
                <w:color w:val="auto"/>
                <w:sz w:val="24"/>
                <w:szCs w:val="24"/>
                <w:lang w:eastAsia="zh-CN"/>
              </w:rPr>
              <w:t>，</w:t>
            </w:r>
            <w:r>
              <w:rPr>
                <w:rFonts w:hint="eastAsia"/>
                <w:bCs w:val="0"/>
                <w:color w:val="auto"/>
                <w:sz w:val="24"/>
                <w:szCs w:val="24"/>
                <w:lang w:val="en-US" w:eastAsia="zh-CN"/>
              </w:rPr>
              <w:t>属于一般固废，收集后交由环卫部门统一清运</w:t>
            </w:r>
          </w:p>
          <w:p w14:paraId="4B062608">
            <w:pPr>
              <w:spacing w:line="500" w:lineRule="exact"/>
              <w:ind w:firstLine="480" w:firstLineChars="200"/>
              <w:rPr>
                <w:rFonts w:hint="eastAsia"/>
                <w:color w:val="auto"/>
                <w:sz w:val="24"/>
              </w:rPr>
            </w:pPr>
            <w:r>
              <w:rPr>
                <w:rFonts w:hint="eastAsia"/>
                <w:color w:val="auto"/>
                <w:sz w:val="24"/>
              </w:rPr>
              <w:t>（</w:t>
            </w:r>
            <w:r>
              <w:rPr>
                <w:rFonts w:hint="eastAsia"/>
                <w:color w:val="auto"/>
                <w:sz w:val="24"/>
                <w:lang w:val="en-US" w:eastAsia="zh-CN"/>
              </w:rPr>
              <w:t>4</w:t>
            </w:r>
            <w:r>
              <w:rPr>
                <w:rFonts w:hint="eastAsia"/>
                <w:color w:val="auto"/>
                <w:sz w:val="24"/>
                <w:lang w:eastAsia="zh-CN"/>
              </w:rPr>
              <w:t>）</w:t>
            </w:r>
            <w:r>
              <w:rPr>
                <w:rFonts w:hint="eastAsia"/>
                <w:color w:val="auto"/>
                <w:sz w:val="24"/>
              </w:rPr>
              <w:t>生活垃圾</w:t>
            </w:r>
            <w:r>
              <w:rPr>
                <w:rFonts w:hint="eastAsia"/>
                <w:color w:val="auto"/>
                <w:sz w:val="24"/>
                <w:lang w:eastAsia="zh-CN"/>
              </w:rPr>
              <w:t>。</w:t>
            </w:r>
          </w:p>
          <w:p w14:paraId="03A674D1">
            <w:pPr>
              <w:spacing w:line="500" w:lineRule="exact"/>
              <w:ind w:firstLine="480" w:firstLineChars="200"/>
              <w:rPr>
                <w:color w:val="auto"/>
                <w:sz w:val="24"/>
              </w:rPr>
            </w:pPr>
            <w:r>
              <w:rPr>
                <w:rFonts w:hint="eastAsia"/>
                <w:color w:val="auto"/>
                <w:sz w:val="24"/>
              </w:rPr>
              <w:t>员工生活垃圾排放量按</w:t>
            </w:r>
            <w:r>
              <w:rPr>
                <w:color w:val="auto"/>
                <w:sz w:val="24"/>
              </w:rPr>
              <w:t>0.5kg/</w:t>
            </w:r>
            <w:r>
              <w:rPr>
                <w:rFonts w:hint="eastAsia"/>
                <w:color w:val="auto"/>
                <w:sz w:val="24"/>
              </w:rPr>
              <w:t>人</w:t>
            </w:r>
            <w:r>
              <w:rPr>
                <w:color w:val="auto"/>
                <w:sz w:val="24"/>
              </w:rPr>
              <w:t>•d</w:t>
            </w:r>
            <w:r>
              <w:rPr>
                <w:rFonts w:hint="eastAsia"/>
                <w:color w:val="auto"/>
                <w:sz w:val="24"/>
              </w:rPr>
              <w:t>，项目劳动定员</w:t>
            </w:r>
            <w:r>
              <w:rPr>
                <w:color w:val="auto"/>
                <w:sz w:val="24"/>
              </w:rPr>
              <w:t>1</w:t>
            </w:r>
            <w:r>
              <w:rPr>
                <w:rFonts w:hint="eastAsia"/>
                <w:color w:val="auto"/>
                <w:sz w:val="24"/>
                <w:lang w:val="en-US" w:eastAsia="zh-CN"/>
              </w:rPr>
              <w:t>0</w:t>
            </w:r>
            <w:r>
              <w:rPr>
                <w:rFonts w:hint="eastAsia"/>
                <w:color w:val="auto"/>
                <w:sz w:val="24"/>
              </w:rPr>
              <w:t>人，生活垃圾年产生量约</w:t>
            </w:r>
            <w:r>
              <w:rPr>
                <w:rFonts w:hint="eastAsia"/>
                <w:color w:val="auto"/>
                <w:sz w:val="24"/>
                <w:lang w:val="en-US" w:eastAsia="zh-CN"/>
              </w:rPr>
              <w:t>1.5</w:t>
            </w:r>
            <w:r>
              <w:rPr>
                <w:color w:val="auto"/>
                <w:sz w:val="24"/>
              </w:rPr>
              <w:t>t/a</w:t>
            </w:r>
            <w:r>
              <w:rPr>
                <w:rFonts w:hint="eastAsia"/>
                <w:color w:val="auto"/>
                <w:sz w:val="24"/>
              </w:rPr>
              <w:t>，由环卫部门及时清运，符合环境卫生管理要求，不会产生堆存占地等方面的问题，对环境的影响较小。</w:t>
            </w:r>
          </w:p>
          <w:p w14:paraId="2275FAF6">
            <w:pPr>
              <w:spacing w:line="500" w:lineRule="exact"/>
              <w:ind w:firstLine="708" w:firstLineChars="294"/>
              <w:jc w:val="center"/>
              <w:rPr>
                <w:b/>
                <w:bCs/>
                <w:color w:val="auto"/>
                <w:sz w:val="24"/>
              </w:rPr>
            </w:pPr>
            <w:r>
              <w:rPr>
                <w:b/>
                <w:bCs/>
                <w:color w:val="auto"/>
                <w:sz w:val="24"/>
              </w:rPr>
              <w:t>表4-1</w:t>
            </w:r>
            <w:r>
              <w:rPr>
                <w:rFonts w:hint="eastAsia"/>
                <w:b/>
                <w:bCs/>
                <w:color w:val="auto"/>
                <w:sz w:val="24"/>
                <w:lang w:val="en-US" w:eastAsia="zh-CN"/>
              </w:rPr>
              <w:t>9</w:t>
            </w:r>
            <w:r>
              <w:rPr>
                <w:b/>
                <w:bCs/>
                <w:color w:val="auto"/>
                <w:sz w:val="24"/>
              </w:rPr>
              <w:t xml:space="preserve"> 本项目固体废物产生量及处理处置情况</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162"/>
              <w:gridCol w:w="504"/>
              <w:gridCol w:w="681"/>
              <w:gridCol w:w="731"/>
              <w:gridCol w:w="743"/>
              <w:gridCol w:w="1077"/>
              <w:gridCol w:w="914"/>
              <w:gridCol w:w="2530"/>
            </w:tblGrid>
            <w:tr w14:paraId="2732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0C463F20">
                  <w:pPr>
                    <w:ind w:left="-105" w:leftChars="-50" w:right="-105" w:rightChars="-50"/>
                    <w:jc w:val="center"/>
                    <w:rPr>
                      <w:color w:val="auto"/>
                      <w:kern w:val="0"/>
                      <w:szCs w:val="21"/>
                    </w:rPr>
                  </w:pPr>
                  <w:r>
                    <w:rPr>
                      <w:rFonts w:hint="eastAsia" w:ascii="宋体" w:hAnsi="宋体"/>
                      <w:color w:val="auto"/>
                      <w:kern w:val="0"/>
                    </w:rPr>
                    <w:t>固废性质</w:t>
                  </w:r>
                </w:p>
              </w:tc>
              <w:tc>
                <w:tcPr>
                  <w:tcW w:w="1162" w:type="dxa"/>
                  <w:tcBorders>
                    <w:top w:val="single" w:color="auto" w:sz="4" w:space="0"/>
                    <w:left w:val="nil"/>
                    <w:bottom w:val="single" w:color="auto" w:sz="4" w:space="0"/>
                    <w:right w:val="single" w:color="auto" w:sz="4" w:space="0"/>
                  </w:tcBorders>
                  <w:vAlign w:val="center"/>
                </w:tcPr>
                <w:p w14:paraId="03BEAD27">
                  <w:pPr>
                    <w:ind w:left="-105" w:leftChars="-50" w:right="-105" w:rightChars="-50"/>
                    <w:jc w:val="center"/>
                    <w:rPr>
                      <w:color w:val="auto"/>
                      <w:kern w:val="0"/>
                    </w:rPr>
                  </w:pPr>
                  <w:r>
                    <w:rPr>
                      <w:rFonts w:hint="eastAsia" w:ascii="宋体" w:hAnsi="宋体"/>
                      <w:color w:val="auto"/>
                      <w:kern w:val="0"/>
                    </w:rPr>
                    <w:t>污染物名称</w:t>
                  </w:r>
                </w:p>
              </w:tc>
              <w:tc>
                <w:tcPr>
                  <w:tcW w:w="504" w:type="dxa"/>
                  <w:tcBorders>
                    <w:top w:val="single" w:color="auto" w:sz="4" w:space="0"/>
                    <w:left w:val="nil"/>
                    <w:bottom w:val="single" w:color="auto" w:sz="4" w:space="0"/>
                    <w:right w:val="single" w:color="auto" w:sz="4" w:space="0"/>
                  </w:tcBorders>
                  <w:vAlign w:val="center"/>
                </w:tcPr>
                <w:p w14:paraId="01746B89">
                  <w:pPr>
                    <w:ind w:left="-105" w:leftChars="-50" w:right="-105" w:rightChars="-50"/>
                    <w:jc w:val="center"/>
                    <w:rPr>
                      <w:bCs/>
                      <w:color w:val="auto"/>
                    </w:rPr>
                  </w:pPr>
                  <w:r>
                    <w:rPr>
                      <w:rFonts w:hint="eastAsia" w:ascii="宋体" w:hAnsi="宋体"/>
                      <w:bCs/>
                      <w:color w:val="auto"/>
                    </w:rPr>
                    <w:t>产生工序</w:t>
                  </w:r>
                </w:p>
              </w:tc>
              <w:tc>
                <w:tcPr>
                  <w:tcW w:w="681" w:type="dxa"/>
                  <w:tcBorders>
                    <w:top w:val="single" w:color="auto" w:sz="4" w:space="0"/>
                    <w:left w:val="nil"/>
                    <w:bottom w:val="single" w:color="auto" w:sz="4" w:space="0"/>
                    <w:right w:val="single" w:color="auto" w:sz="4" w:space="0"/>
                  </w:tcBorders>
                  <w:vAlign w:val="center"/>
                </w:tcPr>
                <w:p w14:paraId="0AFAE087">
                  <w:pPr>
                    <w:ind w:left="-105" w:leftChars="-50" w:right="-105" w:rightChars="-50"/>
                    <w:jc w:val="center"/>
                    <w:rPr>
                      <w:rFonts w:cs="宋体"/>
                      <w:color w:val="auto"/>
                      <w:kern w:val="0"/>
                    </w:rPr>
                  </w:pPr>
                  <w:r>
                    <w:rPr>
                      <w:rFonts w:hint="eastAsia" w:ascii="宋体" w:hAnsi="宋体"/>
                      <w:color w:val="auto"/>
                      <w:kern w:val="0"/>
                    </w:rPr>
                    <w:t>形态</w:t>
                  </w:r>
                </w:p>
              </w:tc>
              <w:tc>
                <w:tcPr>
                  <w:tcW w:w="731" w:type="dxa"/>
                  <w:tcBorders>
                    <w:top w:val="single" w:color="auto" w:sz="4" w:space="0"/>
                    <w:left w:val="nil"/>
                    <w:bottom w:val="single" w:color="auto" w:sz="4" w:space="0"/>
                    <w:right w:val="single" w:color="auto" w:sz="4" w:space="0"/>
                  </w:tcBorders>
                  <w:vAlign w:val="center"/>
                </w:tcPr>
                <w:p w14:paraId="6B443507">
                  <w:pPr>
                    <w:ind w:left="-105" w:leftChars="-50" w:right="-105" w:rightChars="-50"/>
                    <w:jc w:val="center"/>
                    <w:rPr>
                      <w:rFonts w:cs="宋体"/>
                      <w:color w:val="auto"/>
                      <w:kern w:val="0"/>
                    </w:rPr>
                  </w:pPr>
                  <w:r>
                    <w:rPr>
                      <w:rFonts w:hint="eastAsia" w:ascii="宋体" w:hAnsi="宋体"/>
                      <w:color w:val="auto"/>
                      <w:kern w:val="0"/>
                    </w:rPr>
                    <w:t>危险特性</w:t>
                  </w:r>
                </w:p>
              </w:tc>
              <w:tc>
                <w:tcPr>
                  <w:tcW w:w="743" w:type="dxa"/>
                  <w:tcBorders>
                    <w:top w:val="single" w:color="auto" w:sz="4" w:space="0"/>
                    <w:left w:val="nil"/>
                    <w:bottom w:val="single" w:color="auto" w:sz="4" w:space="0"/>
                    <w:right w:val="single" w:color="auto" w:sz="4" w:space="0"/>
                  </w:tcBorders>
                  <w:vAlign w:val="center"/>
                </w:tcPr>
                <w:p w14:paraId="59ECBD24">
                  <w:pPr>
                    <w:ind w:left="-105" w:leftChars="-50" w:right="-105" w:rightChars="-50"/>
                    <w:jc w:val="center"/>
                    <w:rPr>
                      <w:color w:val="auto"/>
                    </w:rPr>
                  </w:pPr>
                  <w:r>
                    <w:rPr>
                      <w:rFonts w:hint="eastAsia" w:ascii="宋体" w:hAnsi="宋体"/>
                      <w:color w:val="auto"/>
                    </w:rPr>
                    <w:t>废物类别</w:t>
                  </w:r>
                </w:p>
              </w:tc>
              <w:tc>
                <w:tcPr>
                  <w:tcW w:w="1077" w:type="dxa"/>
                  <w:tcBorders>
                    <w:top w:val="single" w:color="auto" w:sz="4" w:space="0"/>
                    <w:left w:val="nil"/>
                    <w:bottom w:val="single" w:color="auto" w:sz="4" w:space="0"/>
                    <w:right w:val="single" w:color="auto" w:sz="4" w:space="0"/>
                  </w:tcBorders>
                  <w:vAlign w:val="center"/>
                </w:tcPr>
                <w:p w14:paraId="37E9D1D6">
                  <w:pPr>
                    <w:ind w:left="-105" w:leftChars="-50" w:right="-105" w:rightChars="-50"/>
                    <w:jc w:val="center"/>
                    <w:rPr>
                      <w:rFonts w:ascii="Calibri" w:hAnsi="Calibri"/>
                      <w:color w:val="auto"/>
                      <w:kern w:val="0"/>
                    </w:rPr>
                  </w:pPr>
                  <w:r>
                    <w:rPr>
                      <w:rFonts w:hint="eastAsia" w:ascii="宋体" w:hAnsi="宋体"/>
                      <w:color w:val="auto"/>
                      <w:kern w:val="0"/>
                    </w:rPr>
                    <w:t>废物代码</w:t>
                  </w:r>
                </w:p>
              </w:tc>
              <w:tc>
                <w:tcPr>
                  <w:tcW w:w="914" w:type="dxa"/>
                  <w:tcBorders>
                    <w:top w:val="single" w:color="auto" w:sz="4" w:space="0"/>
                    <w:left w:val="nil"/>
                    <w:bottom w:val="single" w:color="auto" w:sz="4" w:space="0"/>
                    <w:right w:val="single" w:color="auto" w:sz="4" w:space="0"/>
                  </w:tcBorders>
                  <w:vAlign w:val="center"/>
                </w:tcPr>
                <w:p w14:paraId="72BBF705">
                  <w:pPr>
                    <w:ind w:left="-105" w:leftChars="-50" w:right="-105" w:rightChars="-50"/>
                    <w:jc w:val="center"/>
                    <w:rPr>
                      <w:color w:val="auto"/>
                      <w:kern w:val="0"/>
                    </w:rPr>
                  </w:pPr>
                  <w:r>
                    <w:rPr>
                      <w:rFonts w:hint="eastAsia" w:ascii="宋体" w:hAnsi="宋体"/>
                      <w:color w:val="auto"/>
                      <w:kern w:val="0"/>
                    </w:rPr>
                    <w:t>产生量</w:t>
                  </w:r>
                </w:p>
              </w:tc>
              <w:tc>
                <w:tcPr>
                  <w:tcW w:w="2530" w:type="dxa"/>
                  <w:tcBorders>
                    <w:top w:val="single" w:color="auto" w:sz="4" w:space="0"/>
                    <w:left w:val="nil"/>
                    <w:bottom w:val="single" w:color="auto" w:sz="4" w:space="0"/>
                    <w:right w:val="single" w:color="auto" w:sz="4" w:space="0"/>
                  </w:tcBorders>
                  <w:vAlign w:val="center"/>
                </w:tcPr>
                <w:p w14:paraId="06BA8D2D">
                  <w:pPr>
                    <w:ind w:left="-105" w:leftChars="-50" w:right="-105" w:rightChars="-50"/>
                    <w:jc w:val="center"/>
                    <w:rPr>
                      <w:color w:val="auto"/>
                      <w:kern w:val="0"/>
                    </w:rPr>
                  </w:pPr>
                  <w:r>
                    <w:rPr>
                      <w:rFonts w:hint="eastAsia" w:ascii="宋体" w:hAnsi="宋体"/>
                      <w:color w:val="auto"/>
                      <w:kern w:val="0"/>
                    </w:rPr>
                    <w:t>处置方式</w:t>
                  </w:r>
                </w:p>
              </w:tc>
            </w:tr>
            <w:tr w14:paraId="0B29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 w:type="dxa"/>
                  <w:vMerge w:val="restart"/>
                  <w:tcBorders>
                    <w:left w:val="single" w:color="auto" w:sz="4" w:space="0"/>
                    <w:right w:val="single" w:color="auto" w:sz="4" w:space="0"/>
                  </w:tcBorders>
                  <w:vAlign w:val="center"/>
                </w:tcPr>
                <w:p w14:paraId="13200270">
                  <w:pPr>
                    <w:widowControl/>
                    <w:jc w:val="left"/>
                    <w:rPr>
                      <w:rFonts w:hint="default" w:ascii="Calibri" w:hAnsi="Calibri" w:eastAsia="宋体"/>
                      <w:color w:val="auto"/>
                      <w:kern w:val="0"/>
                      <w:szCs w:val="21"/>
                      <w:lang w:val="en-US" w:eastAsia="zh-CN"/>
                    </w:rPr>
                  </w:pPr>
                  <w:r>
                    <w:rPr>
                      <w:rFonts w:hint="eastAsia" w:ascii="Calibri" w:hAnsi="Calibri"/>
                      <w:color w:val="auto"/>
                      <w:kern w:val="0"/>
                      <w:szCs w:val="21"/>
                      <w:lang w:val="en-US" w:eastAsia="zh-CN"/>
                    </w:rPr>
                    <w:t>危险废物</w:t>
                  </w:r>
                </w:p>
              </w:tc>
              <w:tc>
                <w:tcPr>
                  <w:tcW w:w="1162" w:type="dxa"/>
                  <w:tcBorders>
                    <w:top w:val="single" w:color="auto" w:sz="4" w:space="0"/>
                    <w:left w:val="nil"/>
                    <w:bottom w:val="single" w:color="auto" w:sz="4" w:space="0"/>
                    <w:right w:val="single" w:color="auto" w:sz="4" w:space="0"/>
                  </w:tcBorders>
                  <w:vAlign w:val="center"/>
                </w:tcPr>
                <w:p w14:paraId="431F7908">
                  <w:pPr>
                    <w:ind w:left="-164" w:leftChars="-78" w:right="-178" w:rightChars="-85"/>
                    <w:jc w:val="center"/>
                    <w:rPr>
                      <w:rFonts w:ascii="宋体" w:hAnsi="宋体"/>
                      <w:color w:val="auto"/>
                    </w:rPr>
                  </w:pPr>
                  <w:r>
                    <w:rPr>
                      <w:rFonts w:hint="eastAsia" w:ascii="宋体" w:hAnsi="宋体"/>
                      <w:color w:val="auto"/>
                    </w:rPr>
                    <w:t>废机油</w:t>
                  </w:r>
                </w:p>
              </w:tc>
              <w:tc>
                <w:tcPr>
                  <w:tcW w:w="504" w:type="dxa"/>
                  <w:tcBorders>
                    <w:top w:val="single" w:color="auto" w:sz="4" w:space="0"/>
                    <w:left w:val="nil"/>
                    <w:bottom w:val="single" w:color="auto" w:sz="4" w:space="0"/>
                    <w:right w:val="single" w:color="auto" w:sz="4" w:space="0"/>
                  </w:tcBorders>
                  <w:vAlign w:val="center"/>
                </w:tcPr>
                <w:p w14:paraId="05D0D114">
                  <w:pPr>
                    <w:ind w:left="-105" w:leftChars="-50" w:right="-105" w:rightChars="-50"/>
                    <w:jc w:val="center"/>
                    <w:rPr>
                      <w:bCs/>
                      <w:color w:val="auto"/>
                    </w:rPr>
                  </w:pPr>
                  <w:r>
                    <w:rPr>
                      <w:rFonts w:hint="eastAsia" w:ascii="宋体" w:hAnsi="宋体"/>
                      <w:bCs/>
                      <w:color w:val="auto"/>
                    </w:rPr>
                    <w:t>设备维护</w:t>
                  </w:r>
                </w:p>
              </w:tc>
              <w:tc>
                <w:tcPr>
                  <w:tcW w:w="681" w:type="dxa"/>
                  <w:tcBorders>
                    <w:top w:val="single" w:color="auto" w:sz="4" w:space="0"/>
                    <w:left w:val="nil"/>
                    <w:bottom w:val="single" w:color="auto" w:sz="4" w:space="0"/>
                    <w:right w:val="single" w:color="auto" w:sz="4" w:space="0"/>
                  </w:tcBorders>
                  <w:vAlign w:val="center"/>
                </w:tcPr>
                <w:p w14:paraId="7261E4C3">
                  <w:pPr>
                    <w:ind w:left="-105" w:leftChars="-50" w:right="-105" w:rightChars="-50"/>
                    <w:jc w:val="center"/>
                    <w:rPr>
                      <w:color w:val="auto"/>
                    </w:rPr>
                  </w:pPr>
                  <w:r>
                    <w:rPr>
                      <w:rFonts w:hint="eastAsia" w:ascii="宋体" w:hAnsi="宋体"/>
                      <w:color w:val="auto"/>
                    </w:rPr>
                    <w:t>液态</w:t>
                  </w:r>
                </w:p>
              </w:tc>
              <w:tc>
                <w:tcPr>
                  <w:tcW w:w="731" w:type="dxa"/>
                  <w:tcBorders>
                    <w:top w:val="single" w:color="auto" w:sz="4" w:space="0"/>
                    <w:left w:val="nil"/>
                    <w:bottom w:val="single" w:color="auto" w:sz="4" w:space="0"/>
                    <w:right w:val="single" w:color="auto" w:sz="4" w:space="0"/>
                  </w:tcBorders>
                  <w:vAlign w:val="center"/>
                </w:tcPr>
                <w:p w14:paraId="1D2DDFB9">
                  <w:pPr>
                    <w:ind w:left="-105" w:leftChars="-50" w:right="-105" w:rightChars="-50"/>
                    <w:jc w:val="center"/>
                    <w:rPr>
                      <w:color w:val="auto"/>
                    </w:rPr>
                  </w:pPr>
                  <w:r>
                    <w:rPr>
                      <w:color w:val="auto"/>
                    </w:rPr>
                    <w:t>T, I</w:t>
                  </w:r>
                </w:p>
              </w:tc>
              <w:tc>
                <w:tcPr>
                  <w:tcW w:w="743" w:type="dxa"/>
                  <w:tcBorders>
                    <w:top w:val="single" w:color="auto" w:sz="4" w:space="0"/>
                    <w:left w:val="nil"/>
                    <w:bottom w:val="single" w:color="auto" w:sz="4" w:space="0"/>
                    <w:right w:val="single" w:color="auto" w:sz="4" w:space="0"/>
                  </w:tcBorders>
                  <w:vAlign w:val="center"/>
                </w:tcPr>
                <w:p w14:paraId="08A656F7">
                  <w:pPr>
                    <w:ind w:left="-105" w:leftChars="-50" w:right="-105" w:rightChars="-50"/>
                    <w:jc w:val="center"/>
                    <w:rPr>
                      <w:color w:val="auto"/>
                    </w:rPr>
                  </w:pPr>
                  <w:r>
                    <w:rPr>
                      <w:color w:val="auto"/>
                    </w:rPr>
                    <w:t>HW08</w:t>
                  </w:r>
                </w:p>
              </w:tc>
              <w:tc>
                <w:tcPr>
                  <w:tcW w:w="1077" w:type="dxa"/>
                  <w:tcBorders>
                    <w:top w:val="single" w:color="auto" w:sz="4" w:space="0"/>
                    <w:left w:val="nil"/>
                    <w:bottom w:val="single" w:color="auto" w:sz="4" w:space="0"/>
                    <w:right w:val="single" w:color="auto" w:sz="4" w:space="0"/>
                  </w:tcBorders>
                  <w:vAlign w:val="center"/>
                </w:tcPr>
                <w:p w14:paraId="12F44004">
                  <w:pPr>
                    <w:ind w:left="-105" w:leftChars="-50" w:right="-105" w:rightChars="-50"/>
                    <w:jc w:val="center"/>
                    <w:rPr>
                      <w:rFonts w:ascii="Calibri" w:hAnsi="Calibri"/>
                      <w:color w:val="auto"/>
                      <w:kern w:val="0"/>
                    </w:rPr>
                  </w:pPr>
                  <w:r>
                    <w:rPr>
                      <w:color w:val="auto"/>
                    </w:rPr>
                    <w:t>900-214-08</w:t>
                  </w:r>
                </w:p>
              </w:tc>
              <w:tc>
                <w:tcPr>
                  <w:tcW w:w="914" w:type="dxa"/>
                  <w:tcBorders>
                    <w:top w:val="single" w:color="auto" w:sz="4" w:space="0"/>
                    <w:left w:val="nil"/>
                    <w:bottom w:val="single" w:color="auto" w:sz="4" w:space="0"/>
                    <w:right w:val="single" w:color="auto" w:sz="4" w:space="0"/>
                  </w:tcBorders>
                  <w:vAlign w:val="center"/>
                </w:tcPr>
                <w:p w14:paraId="3E3076A3">
                  <w:pPr>
                    <w:ind w:left="-105" w:leftChars="-50" w:right="-105" w:rightChars="-50"/>
                    <w:jc w:val="center"/>
                    <w:rPr>
                      <w:color w:val="auto"/>
                      <w:kern w:val="0"/>
                    </w:rPr>
                  </w:pPr>
                  <w:r>
                    <w:rPr>
                      <w:color w:val="auto"/>
                      <w:kern w:val="0"/>
                    </w:rPr>
                    <w:t>0.1t/a</w:t>
                  </w:r>
                </w:p>
              </w:tc>
              <w:tc>
                <w:tcPr>
                  <w:tcW w:w="2530" w:type="dxa"/>
                  <w:vMerge w:val="restart"/>
                  <w:tcBorders>
                    <w:left w:val="nil"/>
                    <w:right w:val="single" w:color="auto" w:sz="4" w:space="0"/>
                  </w:tcBorders>
                  <w:vAlign w:val="center"/>
                </w:tcPr>
                <w:p w14:paraId="61381CB8">
                  <w:pPr>
                    <w:widowControl/>
                    <w:jc w:val="left"/>
                    <w:rPr>
                      <w:rFonts w:ascii="Calibri" w:hAnsi="Calibri"/>
                      <w:color w:val="auto"/>
                      <w:kern w:val="0"/>
                      <w:szCs w:val="21"/>
                    </w:rPr>
                  </w:pPr>
                  <w:r>
                    <w:rPr>
                      <w:rFonts w:hint="eastAsia" w:ascii="宋体" w:hAnsi="宋体"/>
                      <w:color w:val="auto"/>
                      <w:kern w:val="0"/>
                    </w:rPr>
                    <w:t>收集后暂存于危废库，定期交有资质单位处置</w:t>
                  </w:r>
                </w:p>
              </w:tc>
            </w:tr>
            <w:tr w14:paraId="3F8F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 w:type="dxa"/>
                  <w:vMerge w:val="continue"/>
                  <w:tcBorders>
                    <w:left w:val="single" w:color="auto" w:sz="4" w:space="0"/>
                    <w:right w:val="single" w:color="auto" w:sz="4" w:space="0"/>
                  </w:tcBorders>
                  <w:vAlign w:val="center"/>
                </w:tcPr>
                <w:p w14:paraId="2A974535">
                  <w:pPr>
                    <w:widowControl/>
                    <w:jc w:val="left"/>
                    <w:rPr>
                      <w:rFonts w:ascii="Calibri" w:hAnsi="Calibri"/>
                      <w:color w:val="auto"/>
                      <w:kern w:val="0"/>
                      <w:szCs w:val="21"/>
                    </w:rPr>
                  </w:pPr>
                </w:p>
              </w:tc>
              <w:tc>
                <w:tcPr>
                  <w:tcW w:w="1162" w:type="dxa"/>
                  <w:tcBorders>
                    <w:top w:val="single" w:color="auto" w:sz="4" w:space="0"/>
                    <w:left w:val="nil"/>
                    <w:bottom w:val="single" w:color="auto" w:sz="4" w:space="0"/>
                    <w:right w:val="single" w:color="auto" w:sz="4" w:space="0"/>
                  </w:tcBorders>
                  <w:vAlign w:val="center"/>
                </w:tcPr>
                <w:p w14:paraId="2C1660DE">
                  <w:pPr>
                    <w:ind w:left="-164" w:leftChars="-78" w:right="-178" w:rightChars="-85"/>
                    <w:jc w:val="center"/>
                    <w:rPr>
                      <w:rFonts w:ascii="宋体" w:hAnsi="宋体"/>
                      <w:color w:val="auto"/>
                    </w:rPr>
                  </w:pPr>
                  <w:r>
                    <w:rPr>
                      <w:rFonts w:hint="eastAsia" w:ascii="宋体" w:hAnsi="宋体"/>
                      <w:color w:val="auto"/>
                    </w:rPr>
                    <w:t>废机油桶</w:t>
                  </w:r>
                </w:p>
              </w:tc>
              <w:tc>
                <w:tcPr>
                  <w:tcW w:w="504" w:type="dxa"/>
                  <w:tcBorders>
                    <w:top w:val="single" w:color="auto" w:sz="4" w:space="0"/>
                    <w:left w:val="nil"/>
                    <w:bottom w:val="single" w:color="auto" w:sz="4" w:space="0"/>
                    <w:right w:val="single" w:color="auto" w:sz="4" w:space="0"/>
                  </w:tcBorders>
                  <w:vAlign w:val="center"/>
                </w:tcPr>
                <w:p w14:paraId="2E44FEEA">
                  <w:pPr>
                    <w:ind w:left="-105" w:leftChars="-50" w:right="-105" w:rightChars="-50"/>
                    <w:jc w:val="center"/>
                    <w:rPr>
                      <w:bCs/>
                      <w:color w:val="auto"/>
                    </w:rPr>
                  </w:pPr>
                  <w:r>
                    <w:rPr>
                      <w:rFonts w:hint="eastAsia" w:ascii="宋体" w:hAnsi="宋体"/>
                      <w:bCs/>
                      <w:color w:val="auto"/>
                    </w:rPr>
                    <w:t>设备维护</w:t>
                  </w:r>
                </w:p>
              </w:tc>
              <w:tc>
                <w:tcPr>
                  <w:tcW w:w="681" w:type="dxa"/>
                  <w:tcBorders>
                    <w:top w:val="single" w:color="auto" w:sz="4" w:space="0"/>
                    <w:left w:val="nil"/>
                    <w:bottom w:val="single" w:color="auto" w:sz="4" w:space="0"/>
                    <w:right w:val="single" w:color="auto" w:sz="4" w:space="0"/>
                  </w:tcBorders>
                  <w:vAlign w:val="center"/>
                </w:tcPr>
                <w:p w14:paraId="0C1C1FBA">
                  <w:pPr>
                    <w:ind w:left="-105" w:leftChars="-50" w:right="-105" w:rightChars="-50"/>
                    <w:jc w:val="center"/>
                    <w:rPr>
                      <w:color w:val="auto"/>
                    </w:rPr>
                  </w:pPr>
                  <w:r>
                    <w:rPr>
                      <w:rFonts w:hint="eastAsia" w:ascii="宋体" w:hAnsi="宋体"/>
                      <w:color w:val="auto"/>
                    </w:rPr>
                    <w:t>固态</w:t>
                  </w:r>
                </w:p>
              </w:tc>
              <w:tc>
                <w:tcPr>
                  <w:tcW w:w="731" w:type="dxa"/>
                  <w:tcBorders>
                    <w:top w:val="single" w:color="auto" w:sz="4" w:space="0"/>
                    <w:left w:val="nil"/>
                    <w:bottom w:val="single" w:color="auto" w:sz="4" w:space="0"/>
                    <w:right w:val="single" w:color="auto" w:sz="4" w:space="0"/>
                  </w:tcBorders>
                  <w:vAlign w:val="center"/>
                </w:tcPr>
                <w:p w14:paraId="4433AB02">
                  <w:pPr>
                    <w:ind w:left="-105" w:leftChars="-50" w:right="-105" w:rightChars="-50"/>
                    <w:jc w:val="center"/>
                    <w:rPr>
                      <w:color w:val="auto"/>
                    </w:rPr>
                  </w:pPr>
                  <w:r>
                    <w:rPr>
                      <w:color w:val="auto"/>
                    </w:rPr>
                    <w:t>T, I</w:t>
                  </w:r>
                </w:p>
              </w:tc>
              <w:tc>
                <w:tcPr>
                  <w:tcW w:w="743" w:type="dxa"/>
                  <w:tcBorders>
                    <w:top w:val="single" w:color="auto" w:sz="4" w:space="0"/>
                    <w:left w:val="nil"/>
                    <w:bottom w:val="single" w:color="auto" w:sz="4" w:space="0"/>
                    <w:right w:val="single" w:color="auto" w:sz="4" w:space="0"/>
                  </w:tcBorders>
                  <w:vAlign w:val="center"/>
                </w:tcPr>
                <w:p w14:paraId="15E48352">
                  <w:pPr>
                    <w:ind w:left="-105" w:leftChars="-50" w:right="-105" w:rightChars="-50"/>
                    <w:jc w:val="center"/>
                    <w:rPr>
                      <w:color w:val="auto"/>
                    </w:rPr>
                  </w:pPr>
                  <w:r>
                    <w:rPr>
                      <w:color w:val="auto"/>
                    </w:rPr>
                    <w:t>HW08</w:t>
                  </w:r>
                </w:p>
              </w:tc>
              <w:tc>
                <w:tcPr>
                  <w:tcW w:w="1077" w:type="dxa"/>
                  <w:tcBorders>
                    <w:top w:val="single" w:color="auto" w:sz="4" w:space="0"/>
                    <w:left w:val="nil"/>
                    <w:bottom w:val="single" w:color="auto" w:sz="4" w:space="0"/>
                    <w:right w:val="single" w:color="auto" w:sz="4" w:space="0"/>
                  </w:tcBorders>
                  <w:vAlign w:val="center"/>
                </w:tcPr>
                <w:p w14:paraId="590696EE">
                  <w:pPr>
                    <w:ind w:left="-105" w:leftChars="-50" w:right="-105" w:rightChars="-50"/>
                    <w:jc w:val="center"/>
                    <w:rPr>
                      <w:rFonts w:ascii="Calibri" w:hAnsi="Calibri"/>
                      <w:color w:val="auto"/>
                      <w:kern w:val="0"/>
                    </w:rPr>
                  </w:pPr>
                  <w:r>
                    <w:rPr>
                      <w:color w:val="auto"/>
                      <w:kern w:val="0"/>
                    </w:rPr>
                    <w:t>900-249-08</w:t>
                  </w:r>
                </w:p>
              </w:tc>
              <w:tc>
                <w:tcPr>
                  <w:tcW w:w="914" w:type="dxa"/>
                  <w:tcBorders>
                    <w:top w:val="single" w:color="auto" w:sz="4" w:space="0"/>
                    <w:left w:val="nil"/>
                    <w:bottom w:val="single" w:color="auto" w:sz="4" w:space="0"/>
                    <w:right w:val="single" w:color="auto" w:sz="4" w:space="0"/>
                  </w:tcBorders>
                  <w:vAlign w:val="center"/>
                </w:tcPr>
                <w:p w14:paraId="252DEA6C">
                  <w:pPr>
                    <w:ind w:left="-105" w:leftChars="-50" w:right="-105" w:rightChars="-50"/>
                    <w:jc w:val="center"/>
                    <w:rPr>
                      <w:color w:val="auto"/>
                      <w:kern w:val="0"/>
                    </w:rPr>
                  </w:pPr>
                  <w:r>
                    <w:rPr>
                      <w:color w:val="auto"/>
                      <w:kern w:val="0"/>
                    </w:rPr>
                    <w:t>0.01t/a</w:t>
                  </w:r>
                </w:p>
              </w:tc>
              <w:tc>
                <w:tcPr>
                  <w:tcW w:w="2530" w:type="dxa"/>
                  <w:vMerge w:val="continue"/>
                  <w:tcBorders>
                    <w:left w:val="nil"/>
                    <w:right w:val="single" w:color="auto" w:sz="4" w:space="0"/>
                  </w:tcBorders>
                  <w:vAlign w:val="center"/>
                </w:tcPr>
                <w:p w14:paraId="44A0B3ED">
                  <w:pPr>
                    <w:widowControl/>
                    <w:jc w:val="left"/>
                    <w:rPr>
                      <w:rFonts w:ascii="Calibri" w:hAnsi="Calibri"/>
                      <w:color w:val="auto"/>
                      <w:kern w:val="0"/>
                      <w:szCs w:val="21"/>
                    </w:rPr>
                  </w:pPr>
                </w:p>
              </w:tc>
            </w:tr>
            <w:tr w14:paraId="5D4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 w:type="dxa"/>
                  <w:vMerge w:val="restart"/>
                  <w:tcBorders>
                    <w:left w:val="single" w:color="auto" w:sz="4" w:space="0"/>
                    <w:right w:val="single" w:color="auto" w:sz="4" w:space="0"/>
                  </w:tcBorders>
                  <w:vAlign w:val="center"/>
                </w:tcPr>
                <w:p w14:paraId="341C2E3F">
                  <w:pPr>
                    <w:widowControl/>
                    <w:jc w:val="left"/>
                    <w:rPr>
                      <w:rFonts w:hint="default" w:ascii="Calibri" w:hAnsi="Calibri" w:eastAsia="宋体"/>
                      <w:color w:val="auto"/>
                      <w:kern w:val="0"/>
                      <w:szCs w:val="21"/>
                      <w:lang w:val="en-US" w:eastAsia="zh-CN"/>
                    </w:rPr>
                  </w:pPr>
                  <w:r>
                    <w:rPr>
                      <w:rFonts w:hint="eastAsia" w:ascii="Calibri" w:hAnsi="Calibri"/>
                      <w:color w:val="auto"/>
                      <w:kern w:val="0"/>
                      <w:szCs w:val="21"/>
                      <w:lang w:val="en-US" w:eastAsia="zh-CN"/>
                    </w:rPr>
                    <w:t>一般固废</w:t>
                  </w:r>
                </w:p>
              </w:tc>
              <w:tc>
                <w:tcPr>
                  <w:tcW w:w="1162" w:type="dxa"/>
                  <w:tcBorders>
                    <w:top w:val="single" w:color="auto" w:sz="4" w:space="0"/>
                    <w:left w:val="nil"/>
                    <w:bottom w:val="single" w:color="auto" w:sz="4" w:space="0"/>
                    <w:right w:val="single" w:color="auto" w:sz="4" w:space="0"/>
                  </w:tcBorders>
                  <w:vAlign w:val="center"/>
                </w:tcPr>
                <w:p w14:paraId="6D700BE5">
                  <w:pPr>
                    <w:ind w:left="-164" w:leftChars="-78" w:right="-178" w:rightChars="-85"/>
                    <w:jc w:val="center"/>
                    <w:rPr>
                      <w:rFonts w:hint="default" w:ascii="宋体" w:hAnsi="宋体" w:eastAsia="宋体"/>
                      <w:color w:val="auto"/>
                      <w:lang w:val="en-US" w:eastAsia="zh-CN"/>
                    </w:rPr>
                  </w:pPr>
                  <w:r>
                    <w:rPr>
                      <w:rFonts w:hint="eastAsia" w:ascii="宋体" w:hAnsi="宋体"/>
                      <w:color w:val="auto"/>
                    </w:rPr>
                    <w:t>废</w:t>
                  </w:r>
                  <w:r>
                    <w:rPr>
                      <w:rFonts w:hint="eastAsia" w:ascii="宋体" w:hAnsi="宋体"/>
                      <w:color w:val="auto"/>
                      <w:lang w:val="en-US" w:eastAsia="zh-CN"/>
                    </w:rPr>
                    <w:t>包装袋</w:t>
                  </w:r>
                </w:p>
              </w:tc>
              <w:tc>
                <w:tcPr>
                  <w:tcW w:w="504" w:type="dxa"/>
                  <w:tcBorders>
                    <w:top w:val="single" w:color="auto" w:sz="4" w:space="0"/>
                    <w:left w:val="nil"/>
                    <w:bottom w:val="single" w:color="auto" w:sz="4" w:space="0"/>
                    <w:right w:val="single" w:color="auto" w:sz="4" w:space="0"/>
                  </w:tcBorders>
                  <w:vAlign w:val="center"/>
                </w:tcPr>
                <w:p w14:paraId="22E5A427">
                  <w:pPr>
                    <w:ind w:left="-105" w:leftChars="-50" w:right="-105" w:rightChars="-50"/>
                    <w:jc w:val="center"/>
                    <w:rPr>
                      <w:rFonts w:hint="eastAsia" w:eastAsia="宋体"/>
                      <w:bCs/>
                      <w:color w:val="auto"/>
                      <w:lang w:eastAsia="zh-CN"/>
                    </w:rPr>
                  </w:pPr>
                  <w:r>
                    <w:rPr>
                      <w:rFonts w:hint="eastAsia" w:ascii="宋体" w:hAnsi="宋体"/>
                      <w:bCs/>
                      <w:color w:val="auto"/>
                      <w:lang w:val="en-US" w:eastAsia="zh-CN"/>
                    </w:rPr>
                    <w:t>投料</w:t>
                  </w:r>
                </w:p>
              </w:tc>
              <w:tc>
                <w:tcPr>
                  <w:tcW w:w="681" w:type="dxa"/>
                  <w:tcBorders>
                    <w:top w:val="single" w:color="auto" w:sz="4" w:space="0"/>
                    <w:left w:val="nil"/>
                    <w:bottom w:val="single" w:color="auto" w:sz="4" w:space="0"/>
                    <w:right w:val="single" w:color="auto" w:sz="4" w:space="0"/>
                  </w:tcBorders>
                  <w:vAlign w:val="center"/>
                </w:tcPr>
                <w:p w14:paraId="46DFAF2B">
                  <w:pPr>
                    <w:ind w:left="-105" w:leftChars="-50" w:right="-105" w:rightChars="-50"/>
                    <w:jc w:val="center"/>
                    <w:rPr>
                      <w:color w:val="auto"/>
                    </w:rPr>
                  </w:pPr>
                  <w:r>
                    <w:rPr>
                      <w:rFonts w:hint="eastAsia" w:ascii="宋体" w:hAnsi="宋体"/>
                      <w:color w:val="auto"/>
                    </w:rPr>
                    <w:t>固态</w:t>
                  </w:r>
                </w:p>
              </w:tc>
              <w:tc>
                <w:tcPr>
                  <w:tcW w:w="731" w:type="dxa"/>
                  <w:tcBorders>
                    <w:top w:val="single" w:color="auto" w:sz="4" w:space="0"/>
                    <w:left w:val="nil"/>
                    <w:bottom w:val="single" w:color="auto" w:sz="4" w:space="0"/>
                    <w:right w:val="single" w:color="auto" w:sz="4" w:space="0"/>
                  </w:tcBorders>
                  <w:vAlign w:val="center"/>
                </w:tcPr>
                <w:p w14:paraId="0B63DB5C">
                  <w:pPr>
                    <w:ind w:left="-105" w:leftChars="-50" w:right="-105" w:rightChars="-50"/>
                    <w:jc w:val="center"/>
                    <w:rPr>
                      <w:color w:val="auto"/>
                    </w:rPr>
                  </w:pPr>
                  <w:r>
                    <w:rPr>
                      <w:rFonts w:hint="eastAsia"/>
                      <w:color w:val="auto"/>
                    </w:rPr>
                    <w:t>/</w:t>
                  </w:r>
                </w:p>
              </w:tc>
              <w:tc>
                <w:tcPr>
                  <w:tcW w:w="743" w:type="dxa"/>
                  <w:tcBorders>
                    <w:top w:val="single" w:color="auto" w:sz="4" w:space="0"/>
                    <w:left w:val="nil"/>
                    <w:bottom w:val="single" w:color="auto" w:sz="4" w:space="0"/>
                    <w:right w:val="single" w:color="auto" w:sz="4" w:space="0"/>
                  </w:tcBorders>
                  <w:vAlign w:val="center"/>
                </w:tcPr>
                <w:p w14:paraId="0BEED8A2">
                  <w:pPr>
                    <w:ind w:left="-105" w:leftChars="-50" w:right="-105" w:rightChars="-50"/>
                    <w:jc w:val="center"/>
                    <w:rPr>
                      <w:color w:val="auto"/>
                    </w:rPr>
                  </w:pPr>
                  <w:r>
                    <w:rPr>
                      <w:rFonts w:hint="eastAsia"/>
                      <w:color w:val="auto"/>
                      <w:kern w:val="0"/>
                    </w:rPr>
                    <w:t>/</w:t>
                  </w:r>
                </w:p>
              </w:tc>
              <w:tc>
                <w:tcPr>
                  <w:tcW w:w="1077" w:type="dxa"/>
                  <w:tcBorders>
                    <w:top w:val="single" w:color="auto" w:sz="4" w:space="0"/>
                    <w:left w:val="nil"/>
                    <w:bottom w:val="single" w:color="auto" w:sz="4" w:space="0"/>
                    <w:right w:val="single" w:color="auto" w:sz="4" w:space="0"/>
                  </w:tcBorders>
                  <w:vAlign w:val="center"/>
                </w:tcPr>
                <w:p w14:paraId="2A630B0D">
                  <w:pPr>
                    <w:ind w:left="-105" w:leftChars="-50" w:right="-105" w:rightChars="-50"/>
                    <w:jc w:val="center"/>
                    <w:rPr>
                      <w:rFonts w:ascii="Calibri" w:hAnsi="Calibri"/>
                      <w:color w:val="auto"/>
                      <w:kern w:val="0"/>
                    </w:rPr>
                  </w:pPr>
                  <w:r>
                    <w:rPr>
                      <w:color w:val="auto"/>
                    </w:rPr>
                    <w:t>/</w:t>
                  </w:r>
                </w:p>
              </w:tc>
              <w:tc>
                <w:tcPr>
                  <w:tcW w:w="914" w:type="dxa"/>
                  <w:tcBorders>
                    <w:top w:val="single" w:color="auto" w:sz="4" w:space="0"/>
                    <w:left w:val="nil"/>
                    <w:bottom w:val="single" w:color="auto" w:sz="4" w:space="0"/>
                    <w:right w:val="single" w:color="auto" w:sz="4" w:space="0"/>
                  </w:tcBorders>
                  <w:vAlign w:val="center"/>
                </w:tcPr>
                <w:p w14:paraId="13572146">
                  <w:pPr>
                    <w:jc w:val="center"/>
                    <w:rPr>
                      <w:color w:val="auto"/>
                    </w:rPr>
                  </w:pPr>
                  <w:r>
                    <w:rPr>
                      <w:rFonts w:hint="eastAsia"/>
                      <w:color w:val="auto"/>
                      <w:lang w:val="en-US" w:eastAsia="zh-CN"/>
                    </w:rPr>
                    <w:t>0.01</w:t>
                  </w:r>
                  <w:r>
                    <w:rPr>
                      <w:color w:val="auto"/>
                    </w:rPr>
                    <w:t>t/a</w:t>
                  </w:r>
                </w:p>
              </w:tc>
              <w:tc>
                <w:tcPr>
                  <w:tcW w:w="2530" w:type="dxa"/>
                  <w:tcBorders>
                    <w:left w:val="nil"/>
                    <w:right w:val="single" w:color="auto" w:sz="4" w:space="0"/>
                  </w:tcBorders>
                  <w:vAlign w:val="center"/>
                </w:tcPr>
                <w:p w14:paraId="66B0197B">
                  <w:pPr>
                    <w:jc w:val="center"/>
                    <w:rPr>
                      <w:rFonts w:hint="default" w:eastAsia="宋体"/>
                      <w:color w:val="auto"/>
                      <w:kern w:val="0"/>
                      <w:lang w:val="en-US" w:eastAsia="zh-CN"/>
                    </w:rPr>
                  </w:pPr>
                  <w:r>
                    <w:rPr>
                      <w:rFonts w:hint="eastAsia"/>
                      <w:color w:val="auto"/>
                      <w:kern w:val="0"/>
                      <w:lang w:val="en-US" w:eastAsia="zh-CN"/>
                    </w:rPr>
                    <w:t>物资部门收集后统一外售</w:t>
                  </w:r>
                </w:p>
              </w:tc>
            </w:tr>
            <w:tr w14:paraId="0D0F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14:paraId="5810EDBD">
                  <w:pPr>
                    <w:ind w:left="-105" w:leftChars="-50" w:right="-105" w:rightChars="-50"/>
                    <w:jc w:val="center"/>
                    <w:rPr>
                      <w:color w:val="auto"/>
                      <w:kern w:val="0"/>
                    </w:rPr>
                  </w:pPr>
                  <w:r>
                    <w:rPr>
                      <w:rFonts w:hint="eastAsia" w:ascii="宋体" w:hAnsi="宋体"/>
                      <w:color w:val="auto"/>
                      <w:kern w:val="0"/>
                    </w:rPr>
                    <w:t>生活垃圾</w:t>
                  </w:r>
                </w:p>
              </w:tc>
              <w:tc>
                <w:tcPr>
                  <w:tcW w:w="1162" w:type="dxa"/>
                  <w:tcBorders>
                    <w:top w:val="single" w:color="auto" w:sz="4" w:space="0"/>
                    <w:left w:val="nil"/>
                    <w:bottom w:val="single" w:color="auto" w:sz="4" w:space="0"/>
                    <w:right w:val="single" w:color="auto" w:sz="4" w:space="0"/>
                  </w:tcBorders>
                  <w:vAlign w:val="center"/>
                </w:tcPr>
                <w:p w14:paraId="22B56F86">
                  <w:pPr>
                    <w:jc w:val="center"/>
                    <w:rPr>
                      <w:rFonts w:ascii="宋体" w:hAnsi="宋体"/>
                      <w:color w:val="auto"/>
                    </w:rPr>
                  </w:pPr>
                  <w:r>
                    <w:rPr>
                      <w:rFonts w:hint="eastAsia" w:ascii="宋体" w:hAnsi="宋体"/>
                      <w:color w:val="auto"/>
                    </w:rPr>
                    <w:t>生活垃圾</w:t>
                  </w:r>
                </w:p>
              </w:tc>
              <w:tc>
                <w:tcPr>
                  <w:tcW w:w="504" w:type="dxa"/>
                  <w:tcBorders>
                    <w:top w:val="single" w:color="auto" w:sz="4" w:space="0"/>
                    <w:left w:val="nil"/>
                    <w:bottom w:val="single" w:color="auto" w:sz="4" w:space="0"/>
                    <w:right w:val="single" w:color="auto" w:sz="4" w:space="0"/>
                  </w:tcBorders>
                  <w:vAlign w:val="center"/>
                </w:tcPr>
                <w:p w14:paraId="774E826B">
                  <w:pPr>
                    <w:ind w:left="-105" w:leftChars="-50" w:right="-105" w:rightChars="-50"/>
                    <w:jc w:val="center"/>
                    <w:rPr>
                      <w:bCs/>
                      <w:color w:val="auto"/>
                    </w:rPr>
                  </w:pPr>
                  <w:r>
                    <w:rPr>
                      <w:rFonts w:hint="eastAsia" w:ascii="宋体" w:hAnsi="宋体"/>
                      <w:bCs/>
                      <w:color w:val="auto"/>
                    </w:rPr>
                    <w:t>员工生活</w:t>
                  </w:r>
                </w:p>
              </w:tc>
              <w:tc>
                <w:tcPr>
                  <w:tcW w:w="681" w:type="dxa"/>
                  <w:tcBorders>
                    <w:top w:val="single" w:color="auto" w:sz="4" w:space="0"/>
                    <w:left w:val="nil"/>
                    <w:bottom w:val="single" w:color="auto" w:sz="4" w:space="0"/>
                    <w:right w:val="single" w:color="auto" w:sz="4" w:space="0"/>
                  </w:tcBorders>
                  <w:vAlign w:val="center"/>
                </w:tcPr>
                <w:p w14:paraId="71EAAB85">
                  <w:pPr>
                    <w:ind w:left="-105" w:leftChars="-50" w:right="-105" w:rightChars="-50"/>
                    <w:jc w:val="center"/>
                    <w:rPr>
                      <w:color w:val="auto"/>
                    </w:rPr>
                  </w:pPr>
                  <w:r>
                    <w:rPr>
                      <w:rFonts w:hint="eastAsia"/>
                      <w:color w:val="auto"/>
                    </w:rPr>
                    <w:t>/</w:t>
                  </w:r>
                </w:p>
              </w:tc>
              <w:tc>
                <w:tcPr>
                  <w:tcW w:w="731" w:type="dxa"/>
                  <w:tcBorders>
                    <w:top w:val="single" w:color="auto" w:sz="4" w:space="0"/>
                    <w:left w:val="nil"/>
                    <w:bottom w:val="single" w:color="auto" w:sz="4" w:space="0"/>
                    <w:right w:val="single" w:color="auto" w:sz="4" w:space="0"/>
                  </w:tcBorders>
                  <w:vAlign w:val="center"/>
                </w:tcPr>
                <w:p w14:paraId="7977F2B2">
                  <w:pPr>
                    <w:ind w:left="-105" w:leftChars="-50" w:right="-105" w:rightChars="-50"/>
                    <w:jc w:val="center"/>
                    <w:rPr>
                      <w:color w:val="auto"/>
                      <w:kern w:val="0"/>
                    </w:rPr>
                  </w:pPr>
                  <w:r>
                    <w:rPr>
                      <w:rFonts w:hint="eastAsia"/>
                      <w:color w:val="auto"/>
                      <w:kern w:val="0"/>
                    </w:rPr>
                    <w:t>/</w:t>
                  </w:r>
                </w:p>
              </w:tc>
              <w:tc>
                <w:tcPr>
                  <w:tcW w:w="743" w:type="dxa"/>
                  <w:tcBorders>
                    <w:top w:val="single" w:color="auto" w:sz="4" w:space="0"/>
                    <w:left w:val="nil"/>
                    <w:bottom w:val="single" w:color="auto" w:sz="4" w:space="0"/>
                    <w:right w:val="single" w:color="auto" w:sz="4" w:space="0"/>
                  </w:tcBorders>
                  <w:vAlign w:val="center"/>
                </w:tcPr>
                <w:p w14:paraId="7B5B53F4">
                  <w:pPr>
                    <w:ind w:left="-105" w:leftChars="-50" w:right="-105" w:rightChars="-50"/>
                    <w:jc w:val="center"/>
                    <w:rPr>
                      <w:color w:val="auto"/>
                    </w:rPr>
                  </w:pPr>
                  <w:r>
                    <w:rPr>
                      <w:color w:val="auto"/>
                    </w:rPr>
                    <w:t>/</w:t>
                  </w:r>
                </w:p>
              </w:tc>
              <w:tc>
                <w:tcPr>
                  <w:tcW w:w="1077" w:type="dxa"/>
                  <w:tcBorders>
                    <w:top w:val="single" w:color="auto" w:sz="4" w:space="0"/>
                    <w:left w:val="nil"/>
                    <w:bottom w:val="single" w:color="auto" w:sz="4" w:space="0"/>
                    <w:right w:val="single" w:color="auto" w:sz="4" w:space="0"/>
                  </w:tcBorders>
                  <w:vAlign w:val="center"/>
                </w:tcPr>
                <w:p w14:paraId="536E1330">
                  <w:pPr>
                    <w:ind w:left="-105" w:leftChars="-50" w:right="-105" w:rightChars="-50"/>
                    <w:jc w:val="center"/>
                    <w:rPr>
                      <w:rFonts w:ascii="Calibri" w:hAnsi="Calibri"/>
                      <w:color w:val="auto"/>
                      <w:kern w:val="0"/>
                    </w:rPr>
                  </w:pPr>
                  <w:r>
                    <w:rPr>
                      <w:color w:val="auto"/>
                      <w:kern w:val="0"/>
                    </w:rPr>
                    <w:t>/</w:t>
                  </w:r>
                </w:p>
              </w:tc>
              <w:tc>
                <w:tcPr>
                  <w:tcW w:w="914" w:type="dxa"/>
                  <w:tcBorders>
                    <w:top w:val="single" w:color="auto" w:sz="4" w:space="0"/>
                    <w:left w:val="nil"/>
                    <w:bottom w:val="single" w:color="auto" w:sz="4" w:space="0"/>
                    <w:right w:val="single" w:color="auto" w:sz="4" w:space="0"/>
                  </w:tcBorders>
                  <w:vAlign w:val="center"/>
                </w:tcPr>
                <w:p w14:paraId="61BBBF20">
                  <w:pPr>
                    <w:jc w:val="center"/>
                    <w:rPr>
                      <w:color w:val="auto"/>
                    </w:rPr>
                  </w:pPr>
                  <w:r>
                    <w:rPr>
                      <w:rFonts w:hint="eastAsia"/>
                      <w:color w:val="auto"/>
                      <w:lang w:val="en-US" w:eastAsia="zh-CN"/>
                    </w:rPr>
                    <w:t>1.6</w:t>
                  </w:r>
                  <w:r>
                    <w:rPr>
                      <w:color w:val="auto"/>
                    </w:rPr>
                    <w:t>t/a</w:t>
                  </w:r>
                </w:p>
              </w:tc>
              <w:tc>
                <w:tcPr>
                  <w:tcW w:w="2530" w:type="dxa"/>
                  <w:vMerge w:val="continue"/>
                  <w:tcBorders>
                    <w:left w:val="nil"/>
                    <w:bottom w:val="single" w:color="auto" w:sz="4" w:space="0"/>
                    <w:right w:val="single" w:color="auto" w:sz="4" w:space="0"/>
                  </w:tcBorders>
                  <w:vAlign w:val="center"/>
                </w:tcPr>
                <w:p w14:paraId="5B2CF248">
                  <w:pPr>
                    <w:jc w:val="center"/>
                    <w:rPr>
                      <w:color w:val="auto"/>
                      <w:kern w:val="0"/>
                    </w:rPr>
                  </w:pPr>
                </w:p>
              </w:tc>
            </w:tr>
          </w:tbl>
          <w:p w14:paraId="7DFD5409">
            <w:pPr>
              <w:tabs>
                <w:tab w:val="left" w:pos="-160"/>
              </w:tabs>
              <w:spacing w:line="500" w:lineRule="exact"/>
              <w:ind w:firstLine="480" w:firstLineChars="200"/>
              <w:rPr>
                <w:color w:val="auto"/>
                <w:sz w:val="24"/>
              </w:rPr>
            </w:pPr>
            <w:r>
              <w:rPr>
                <w:rFonts w:hint="eastAsia"/>
                <w:color w:val="auto"/>
                <w:sz w:val="24"/>
              </w:rPr>
              <w:t xml:space="preserve"> 2、</w:t>
            </w:r>
            <w:r>
              <w:rPr>
                <w:color w:val="auto"/>
                <w:sz w:val="24"/>
              </w:rPr>
              <w:t>固体废物环境影响分析</w:t>
            </w:r>
          </w:p>
          <w:p w14:paraId="4FF6C4E8">
            <w:pPr>
              <w:spacing w:line="500" w:lineRule="atLeast"/>
              <w:ind w:firstLine="480" w:firstLineChars="200"/>
              <w:rPr>
                <w:snapToGrid w:val="0"/>
                <w:color w:val="auto"/>
                <w:kern w:val="24"/>
                <w:sz w:val="24"/>
              </w:rPr>
            </w:pPr>
            <w:r>
              <w:rPr>
                <w:rFonts w:hint="eastAsia"/>
                <w:snapToGrid w:val="0"/>
                <w:color w:val="auto"/>
                <w:kern w:val="24"/>
                <w:sz w:val="24"/>
              </w:rPr>
              <w:t>（1）一般工业固废</w:t>
            </w:r>
          </w:p>
          <w:p w14:paraId="18DE5C9D">
            <w:pPr>
              <w:spacing w:line="500" w:lineRule="atLeast"/>
              <w:ind w:firstLine="480" w:firstLineChars="200"/>
              <w:rPr>
                <w:rFonts w:hint="eastAsia"/>
                <w:snapToGrid w:val="0"/>
                <w:color w:val="auto"/>
                <w:kern w:val="24"/>
                <w:sz w:val="24"/>
              </w:rPr>
            </w:pPr>
            <w:r>
              <w:rPr>
                <w:rFonts w:hint="eastAsia"/>
                <w:snapToGrid w:val="0"/>
                <w:color w:val="auto"/>
                <w:kern w:val="24"/>
                <w:sz w:val="24"/>
              </w:rPr>
              <w:t>本项目一般工业固体废物由物资回收部门回收</w:t>
            </w:r>
            <w:r>
              <w:rPr>
                <w:rFonts w:hint="eastAsia"/>
                <w:snapToGrid w:val="0"/>
                <w:color w:val="auto"/>
                <w:kern w:val="24"/>
                <w:sz w:val="24"/>
                <w:lang w:val="en-US" w:eastAsia="zh-CN"/>
              </w:rPr>
              <w:t>后交由</w:t>
            </w:r>
            <w:r>
              <w:rPr>
                <w:rFonts w:hint="eastAsia" w:ascii="Times New Roman" w:hAnsi="Times New Roman"/>
                <w:snapToGrid w:val="0"/>
                <w:color w:val="auto"/>
                <w:kern w:val="24"/>
                <w:sz w:val="24"/>
              </w:rPr>
              <w:t>环卫部门统一清运</w:t>
            </w:r>
            <w:r>
              <w:rPr>
                <w:rFonts w:hint="eastAsia"/>
                <w:snapToGrid w:val="0"/>
                <w:color w:val="auto"/>
                <w:kern w:val="24"/>
                <w:sz w:val="24"/>
              </w:rPr>
              <w:t>。</w:t>
            </w:r>
          </w:p>
          <w:p w14:paraId="39D9FA67">
            <w:pPr>
              <w:spacing w:line="500" w:lineRule="atLeast"/>
              <w:ind w:firstLine="480" w:firstLineChars="200"/>
              <w:rPr>
                <w:snapToGrid w:val="0"/>
                <w:color w:val="auto"/>
                <w:kern w:val="24"/>
                <w:sz w:val="24"/>
              </w:rPr>
            </w:pPr>
            <w:r>
              <w:rPr>
                <w:rFonts w:hint="eastAsia"/>
                <w:snapToGrid w:val="0"/>
                <w:color w:val="auto"/>
                <w:kern w:val="24"/>
                <w:sz w:val="24"/>
              </w:rPr>
              <w:t>设置一般工业固废暂存间</w:t>
            </w:r>
            <w:r>
              <w:rPr>
                <w:snapToGrid w:val="0"/>
                <w:color w:val="auto"/>
                <w:kern w:val="24"/>
                <w:sz w:val="24"/>
              </w:rPr>
              <w:t>20m</w:t>
            </w:r>
            <w:r>
              <w:rPr>
                <w:rFonts w:hint="eastAsia"/>
                <w:snapToGrid w:val="0"/>
                <w:color w:val="auto"/>
                <w:kern w:val="24"/>
                <w:sz w:val="24"/>
                <w:vertAlign w:val="superscript"/>
              </w:rPr>
              <w:t>2</w:t>
            </w:r>
            <w:r>
              <w:rPr>
                <w:rFonts w:hint="eastAsia"/>
                <w:snapToGrid w:val="0"/>
                <w:color w:val="auto"/>
                <w:kern w:val="24"/>
                <w:sz w:val="24"/>
              </w:rPr>
              <w:t>，</w:t>
            </w:r>
            <w:r>
              <w:rPr>
                <w:snapToGrid w:val="0"/>
                <w:color w:val="auto"/>
                <w:kern w:val="24"/>
                <w:sz w:val="24"/>
              </w:rPr>
              <w:t>位于</w:t>
            </w:r>
            <w:r>
              <w:rPr>
                <w:rFonts w:hint="eastAsia"/>
                <w:snapToGrid w:val="0"/>
                <w:color w:val="auto"/>
                <w:kern w:val="24"/>
                <w:sz w:val="24"/>
              </w:rPr>
              <w:t>生产车间</w:t>
            </w:r>
            <w:r>
              <w:rPr>
                <w:rFonts w:hint="eastAsia"/>
                <w:snapToGrid w:val="0"/>
                <w:color w:val="auto"/>
                <w:kern w:val="24"/>
                <w:sz w:val="24"/>
                <w:lang w:val="en-US" w:eastAsia="zh-CN"/>
              </w:rPr>
              <w:t>东</w:t>
            </w:r>
            <w:r>
              <w:rPr>
                <w:rFonts w:hint="eastAsia"/>
                <w:snapToGrid w:val="0"/>
                <w:color w:val="auto"/>
                <w:kern w:val="24"/>
                <w:sz w:val="24"/>
              </w:rPr>
              <w:t>侧，</w:t>
            </w:r>
            <w:r>
              <w:rPr>
                <w:rFonts w:hint="eastAsia"/>
                <w:bCs w:val="0"/>
                <w:snapToGrid w:val="0"/>
                <w:color w:val="auto"/>
                <w:kern w:val="24"/>
                <w:sz w:val="24"/>
              </w:rPr>
              <w:t>用于本项目的一</w:t>
            </w:r>
            <w:r>
              <w:rPr>
                <w:rFonts w:hint="eastAsia"/>
                <w:bCs/>
                <w:snapToGrid w:val="0"/>
                <w:color w:val="auto"/>
                <w:kern w:val="24"/>
                <w:sz w:val="24"/>
              </w:rPr>
              <w:t>般固体废物暂存。</w:t>
            </w:r>
            <w:r>
              <w:rPr>
                <w:rFonts w:hint="eastAsia"/>
                <w:snapToGrid w:val="0"/>
                <w:color w:val="auto"/>
                <w:kern w:val="24"/>
                <w:sz w:val="24"/>
              </w:rPr>
              <w:t>厂内设置的一般工业固废暂存场</w:t>
            </w:r>
            <w:r>
              <w:rPr>
                <w:rFonts w:hint="eastAsia"/>
                <w:snapToGrid w:val="0"/>
                <w:color w:val="auto"/>
                <w:kern w:val="24"/>
                <w:sz w:val="24"/>
                <w:lang w:eastAsia="zh-CN"/>
              </w:rPr>
              <w:t>按照</w:t>
            </w:r>
            <w:r>
              <w:rPr>
                <w:rFonts w:hint="eastAsia"/>
                <w:snapToGrid w:val="0"/>
                <w:color w:val="auto"/>
                <w:kern w:val="24"/>
                <w:sz w:val="24"/>
              </w:rPr>
              <w:t>《一般工业固体废物贮存、处置场污染控制标准》（GB18599-2020)的要求建设，具体要求如下：</w:t>
            </w:r>
          </w:p>
          <w:p w14:paraId="52ED1E22">
            <w:pPr>
              <w:spacing w:line="500" w:lineRule="atLeast"/>
              <w:ind w:firstLine="480" w:firstLineChars="200"/>
              <w:rPr>
                <w:snapToGrid w:val="0"/>
                <w:color w:val="auto"/>
                <w:kern w:val="24"/>
                <w:sz w:val="24"/>
              </w:rPr>
            </w:pPr>
            <w:r>
              <w:rPr>
                <w:rFonts w:hint="eastAsia"/>
                <w:snapToGrid w:val="0"/>
                <w:color w:val="auto"/>
                <w:kern w:val="24"/>
                <w:sz w:val="24"/>
              </w:rPr>
              <w:t>贮存、处置场的建设类型，必须与将要堆放的一般工业固体废物的类别相一致。贮存、处置场应采取防尘污染的措施。</w:t>
            </w:r>
          </w:p>
          <w:p w14:paraId="79D3A0C5">
            <w:pPr>
              <w:spacing w:line="500" w:lineRule="atLeast"/>
              <w:ind w:firstLine="480" w:firstLineChars="200"/>
              <w:rPr>
                <w:snapToGrid w:val="0"/>
                <w:color w:val="auto"/>
                <w:kern w:val="24"/>
                <w:sz w:val="24"/>
              </w:rPr>
            </w:pPr>
            <w:r>
              <w:rPr>
                <w:rFonts w:hint="eastAsia"/>
                <w:snapToGrid w:val="0"/>
                <w:color w:val="auto"/>
                <w:kern w:val="24"/>
                <w:sz w:val="24"/>
              </w:rPr>
              <w:t>不得露天堆放，防止雨水进入，产生二次污染。</w:t>
            </w:r>
          </w:p>
          <w:p w14:paraId="232B7307">
            <w:pPr>
              <w:spacing w:line="500" w:lineRule="atLeast"/>
              <w:ind w:firstLine="480" w:firstLineChars="200"/>
              <w:rPr>
                <w:snapToGrid w:val="0"/>
                <w:color w:val="auto"/>
                <w:kern w:val="24"/>
                <w:sz w:val="24"/>
              </w:rPr>
            </w:pPr>
            <w:r>
              <w:rPr>
                <w:rFonts w:hint="eastAsia"/>
                <w:snapToGrid w:val="0"/>
                <w:color w:val="auto"/>
                <w:kern w:val="24"/>
                <w:sz w:val="24"/>
              </w:rPr>
              <w:t>（2）生活垃圾</w:t>
            </w:r>
          </w:p>
          <w:p w14:paraId="57A40242">
            <w:pPr>
              <w:spacing w:line="500" w:lineRule="atLeast"/>
              <w:ind w:firstLine="480" w:firstLineChars="200"/>
              <w:rPr>
                <w:snapToGrid w:val="0"/>
                <w:color w:val="auto"/>
                <w:kern w:val="24"/>
                <w:sz w:val="24"/>
              </w:rPr>
            </w:pPr>
            <w:r>
              <w:rPr>
                <w:rFonts w:hint="eastAsia"/>
                <w:snapToGrid w:val="0"/>
                <w:color w:val="auto"/>
                <w:kern w:val="24"/>
                <w:sz w:val="24"/>
              </w:rPr>
              <w:t>生活垃圾经在厂内设垃圾收集桶收集后由环卫部门清运。</w:t>
            </w:r>
          </w:p>
          <w:p w14:paraId="7120064A">
            <w:pPr>
              <w:spacing w:line="500" w:lineRule="atLeast"/>
              <w:ind w:firstLine="480" w:firstLineChars="200"/>
              <w:rPr>
                <w:snapToGrid w:val="0"/>
                <w:color w:val="auto"/>
                <w:kern w:val="24"/>
                <w:sz w:val="24"/>
              </w:rPr>
            </w:pPr>
            <w:r>
              <w:rPr>
                <w:rFonts w:hint="eastAsia"/>
                <w:snapToGrid w:val="0"/>
                <w:color w:val="auto"/>
                <w:kern w:val="24"/>
                <w:sz w:val="24"/>
              </w:rPr>
              <w:t>（3）危险固废</w:t>
            </w:r>
          </w:p>
          <w:p w14:paraId="62FCA48C">
            <w:pPr>
              <w:spacing w:line="500" w:lineRule="atLeast"/>
              <w:ind w:firstLine="480" w:firstLineChars="200"/>
              <w:rPr>
                <w:snapToGrid w:val="0"/>
                <w:color w:val="auto"/>
                <w:kern w:val="24"/>
                <w:sz w:val="24"/>
              </w:rPr>
            </w:pPr>
            <w:r>
              <w:rPr>
                <w:rFonts w:hint="eastAsia"/>
                <w:snapToGrid w:val="0"/>
                <w:color w:val="auto"/>
                <w:kern w:val="24"/>
                <w:sz w:val="24"/>
              </w:rPr>
              <w:t>A、环境影响分析</w:t>
            </w:r>
          </w:p>
          <w:p w14:paraId="5EDF55F9">
            <w:pPr>
              <w:spacing w:line="500" w:lineRule="atLeast"/>
              <w:ind w:firstLine="480" w:firstLineChars="200"/>
              <w:rPr>
                <w:snapToGrid w:val="0"/>
                <w:color w:val="auto"/>
                <w:kern w:val="24"/>
                <w:sz w:val="24"/>
              </w:rPr>
            </w:pPr>
            <w:r>
              <w:rPr>
                <w:rFonts w:hint="eastAsia"/>
                <w:snapToGrid w:val="0"/>
                <w:color w:val="auto"/>
                <w:kern w:val="24"/>
                <w:sz w:val="24"/>
              </w:rPr>
              <w:fldChar w:fldCharType="begin"/>
            </w:r>
            <w:r>
              <w:rPr>
                <w:rFonts w:hint="eastAsia"/>
                <w:snapToGrid w:val="0"/>
                <w:color w:val="auto"/>
                <w:kern w:val="24"/>
                <w:sz w:val="24"/>
              </w:rPr>
              <w:instrText xml:space="preserve"> = 1 \* ROMAN \* MERGEFORMAT </w:instrText>
            </w:r>
            <w:r>
              <w:rPr>
                <w:rFonts w:hint="eastAsia"/>
                <w:snapToGrid w:val="0"/>
                <w:color w:val="auto"/>
                <w:kern w:val="24"/>
                <w:sz w:val="24"/>
              </w:rPr>
              <w:fldChar w:fldCharType="separate"/>
            </w:r>
            <w:r>
              <w:rPr>
                <w:rFonts w:hint="eastAsia"/>
                <w:snapToGrid w:val="0"/>
                <w:color w:val="auto"/>
                <w:kern w:val="24"/>
                <w:sz w:val="24"/>
              </w:rPr>
              <w:t>I</w:t>
            </w:r>
            <w:r>
              <w:rPr>
                <w:rFonts w:hint="eastAsia"/>
                <w:snapToGrid w:val="0"/>
                <w:color w:val="auto"/>
                <w:kern w:val="24"/>
                <w:sz w:val="24"/>
              </w:rPr>
              <w:fldChar w:fldCharType="end"/>
            </w:r>
            <w:r>
              <w:rPr>
                <w:rFonts w:hint="eastAsia"/>
                <w:snapToGrid w:val="0"/>
                <w:color w:val="auto"/>
                <w:kern w:val="24"/>
                <w:sz w:val="24"/>
              </w:rPr>
              <w:t>、危险废物贮存场所（设施）</w:t>
            </w:r>
          </w:p>
          <w:p w14:paraId="792BFB0C">
            <w:pPr>
              <w:spacing w:line="500" w:lineRule="atLeast"/>
              <w:ind w:firstLine="480" w:firstLineChars="200"/>
              <w:rPr>
                <w:snapToGrid w:val="0"/>
                <w:color w:val="auto"/>
                <w:kern w:val="24"/>
                <w:sz w:val="24"/>
              </w:rPr>
            </w:pPr>
            <w:r>
              <w:rPr>
                <w:rFonts w:hint="eastAsia"/>
                <w:snapToGrid w:val="0"/>
                <w:color w:val="auto"/>
                <w:kern w:val="24"/>
                <w:sz w:val="24"/>
              </w:rPr>
              <w:t>本项目</w:t>
            </w:r>
            <w:r>
              <w:rPr>
                <w:rFonts w:hint="eastAsia"/>
                <w:snapToGrid w:val="0"/>
                <w:color w:val="auto"/>
                <w:kern w:val="24"/>
                <w:sz w:val="24"/>
                <w:lang w:val="en-US" w:eastAsia="zh-CN"/>
              </w:rPr>
              <w:t>危废有</w:t>
            </w:r>
            <w:r>
              <w:rPr>
                <w:rFonts w:hint="eastAsia"/>
                <w:color w:val="auto"/>
                <w:sz w:val="24"/>
              </w:rPr>
              <w:t>废机油、废机油桶</w:t>
            </w:r>
            <w:r>
              <w:rPr>
                <w:rFonts w:hint="eastAsia"/>
                <w:color w:val="auto"/>
                <w:sz w:val="24"/>
                <w:lang w:eastAsia="zh-CN"/>
              </w:rPr>
              <w:t>，</w:t>
            </w:r>
            <w:r>
              <w:rPr>
                <w:rFonts w:hint="eastAsia"/>
                <w:snapToGrid w:val="0"/>
                <w:color w:val="auto"/>
                <w:kern w:val="24"/>
                <w:sz w:val="24"/>
              </w:rPr>
              <w:t>暂存于危废库，</w:t>
            </w:r>
            <w:r>
              <w:rPr>
                <w:snapToGrid w:val="0"/>
                <w:color w:val="auto"/>
                <w:kern w:val="24"/>
                <w:sz w:val="24"/>
              </w:rPr>
              <w:t>设置</w:t>
            </w:r>
            <w:r>
              <w:rPr>
                <w:rFonts w:hint="eastAsia"/>
                <w:snapToGrid w:val="0"/>
                <w:color w:val="auto"/>
                <w:kern w:val="24"/>
                <w:sz w:val="24"/>
              </w:rPr>
              <w:t>危废库</w:t>
            </w:r>
            <w:r>
              <w:rPr>
                <w:rFonts w:hint="eastAsia"/>
                <w:snapToGrid w:val="0"/>
                <w:color w:val="auto"/>
                <w:kern w:val="24"/>
                <w:sz w:val="24"/>
                <w:lang w:val="en-US" w:eastAsia="zh-CN"/>
              </w:rPr>
              <w:t>1</w:t>
            </w:r>
            <w:r>
              <w:rPr>
                <w:snapToGrid w:val="0"/>
                <w:color w:val="auto"/>
                <w:kern w:val="24"/>
                <w:sz w:val="24"/>
              </w:rPr>
              <w:t>0m</w:t>
            </w:r>
            <w:r>
              <w:rPr>
                <w:snapToGrid w:val="0"/>
                <w:color w:val="auto"/>
                <w:kern w:val="24"/>
                <w:sz w:val="24"/>
                <w:vertAlign w:val="superscript"/>
              </w:rPr>
              <w:t>2</w:t>
            </w:r>
            <w:r>
              <w:rPr>
                <w:rFonts w:hint="eastAsia"/>
                <w:snapToGrid w:val="0"/>
                <w:color w:val="auto"/>
                <w:kern w:val="24"/>
                <w:sz w:val="24"/>
              </w:rPr>
              <w:t>，</w:t>
            </w:r>
            <w:r>
              <w:rPr>
                <w:rFonts w:hint="eastAsia"/>
                <w:snapToGrid w:val="0"/>
                <w:color w:val="auto"/>
                <w:kern w:val="24"/>
                <w:sz w:val="24"/>
                <w:lang w:val="en-US" w:eastAsia="zh-CN"/>
              </w:rPr>
              <w:t>位于仓库西南侧</w:t>
            </w:r>
            <w:r>
              <w:rPr>
                <w:rFonts w:hint="eastAsia"/>
                <w:snapToGrid w:val="0"/>
                <w:color w:val="auto"/>
                <w:kern w:val="24"/>
                <w:sz w:val="24"/>
              </w:rPr>
              <w:t>，用于储存危险废物，危险废物暂存场所应按照《危险废物贮存污染控制标准》（GB18597）及其修改单中要求，设置防腐防渗等措施。</w:t>
            </w:r>
          </w:p>
          <w:p w14:paraId="2F7831AB">
            <w:pPr>
              <w:spacing w:line="500" w:lineRule="exact"/>
              <w:ind w:firstLine="480" w:firstLineChars="200"/>
              <w:rPr>
                <w:snapToGrid w:val="0"/>
                <w:color w:val="auto"/>
                <w:kern w:val="24"/>
                <w:sz w:val="24"/>
              </w:rPr>
            </w:pPr>
            <w:r>
              <w:rPr>
                <w:rFonts w:hint="eastAsia"/>
                <w:snapToGrid w:val="0"/>
                <w:color w:val="auto"/>
                <w:kern w:val="24"/>
                <w:sz w:val="24"/>
              </w:rPr>
              <w:t>建设项目产生的部分危险废物为液态，应放置封闭桶中，暂存于危废暂存库内，并设备用桶，若采取的为不符合要求的危废容器盛装，容器存在破损撒漏的情况下，并危废暂存场所未做好防渗，其撒漏的</w:t>
            </w:r>
            <w:r>
              <w:rPr>
                <w:rFonts w:hint="eastAsia"/>
                <w:color w:val="auto"/>
                <w:sz w:val="24"/>
              </w:rPr>
              <w:t>废清洗剂、废机油</w:t>
            </w:r>
            <w:r>
              <w:rPr>
                <w:rFonts w:hint="eastAsia"/>
                <w:snapToGrid w:val="0"/>
                <w:color w:val="auto"/>
                <w:kern w:val="24"/>
                <w:sz w:val="24"/>
              </w:rPr>
              <w:t>渗漏到土壤，会造成土壤污染，同时影响地下水。危废暂存场所应严格落实“四防”（防风、防雨、防晒、防渗漏）控制措施，危废库储存液态危废量较少，设备用储存桶，各危险废物暂存过程中对区域地表水影响较小，对环境空气产生的影响较小，事故状态下的危险废物经收集后可得到有效处置，对地下水和土壤不会造成明显的不利影响。</w:t>
            </w:r>
          </w:p>
          <w:p w14:paraId="0CBD8AD1">
            <w:pPr>
              <w:spacing w:line="500" w:lineRule="atLeast"/>
              <w:ind w:firstLine="480" w:firstLineChars="200"/>
              <w:rPr>
                <w:snapToGrid w:val="0"/>
                <w:color w:val="auto"/>
                <w:kern w:val="24"/>
                <w:sz w:val="24"/>
              </w:rPr>
            </w:pPr>
            <w:r>
              <w:rPr>
                <w:rFonts w:hint="eastAsia"/>
                <w:snapToGrid w:val="0"/>
                <w:color w:val="auto"/>
                <w:kern w:val="24"/>
                <w:sz w:val="24"/>
              </w:rPr>
              <w:t>危废暂存场所应严格落实“四防”（防风、防雨、防晒、防渗漏）控制措施，各危险废物暂存过程中对区域地表水影响较小，对环境空气产生的影响较小，事故状态下的危险废物经收集后可得到有效处置，对地下水和土壤不会造成明显的不利影响。</w:t>
            </w:r>
          </w:p>
          <w:p w14:paraId="2DAE9AC8">
            <w:pPr>
              <w:spacing w:line="500" w:lineRule="atLeast"/>
              <w:ind w:firstLine="480" w:firstLineChars="200"/>
              <w:rPr>
                <w:snapToGrid w:val="0"/>
                <w:color w:val="auto"/>
                <w:kern w:val="24"/>
                <w:sz w:val="24"/>
              </w:rPr>
            </w:pPr>
            <w:r>
              <w:rPr>
                <w:rFonts w:hint="eastAsia"/>
                <w:snapToGrid w:val="0"/>
                <w:color w:val="auto"/>
                <w:kern w:val="24"/>
                <w:sz w:val="24"/>
              </w:rPr>
              <w:fldChar w:fldCharType="begin"/>
            </w:r>
            <w:r>
              <w:rPr>
                <w:rFonts w:hint="eastAsia"/>
                <w:snapToGrid w:val="0"/>
                <w:color w:val="auto"/>
                <w:kern w:val="24"/>
                <w:sz w:val="24"/>
              </w:rPr>
              <w:instrText xml:space="preserve"> = 2 \* ROMAN \* MERGEFORMAT </w:instrText>
            </w:r>
            <w:r>
              <w:rPr>
                <w:rFonts w:hint="eastAsia"/>
                <w:snapToGrid w:val="0"/>
                <w:color w:val="auto"/>
                <w:kern w:val="24"/>
                <w:sz w:val="24"/>
              </w:rPr>
              <w:fldChar w:fldCharType="separate"/>
            </w:r>
            <w:r>
              <w:rPr>
                <w:rFonts w:hint="eastAsia"/>
                <w:snapToGrid w:val="0"/>
                <w:color w:val="auto"/>
                <w:kern w:val="24"/>
                <w:sz w:val="24"/>
              </w:rPr>
              <w:t>II</w:t>
            </w:r>
            <w:r>
              <w:rPr>
                <w:rFonts w:hint="eastAsia"/>
                <w:snapToGrid w:val="0"/>
                <w:color w:val="auto"/>
                <w:kern w:val="24"/>
                <w:sz w:val="24"/>
              </w:rPr>
              <w:fldChar w:fldCharType="end"/>
            </w:r>
            <w:r>
              <w:rPr>
                <w:rFonts w:hint="eastAsia"/>
                <w:snapToGrid w:val="0"/>
                <w:color w:val="auto"/>
                <w:kern w:val="24"/>
                <w:sz w:val="24"/>
              </w:rPr>
              <w:t>、运输过程的环境影响分析</w:t>
            </w:r>
          </w:p>
          <w:p w14:paraId="7853EC2C">
            <w:pPr>
              <w:spacing w:line="500" w:lineRule="exact"/>
              <w:ind w:firstLine="480" w:firstLineChars="200"/>
              <w:rPr>
                <w:snapToGrid w:val="0"/>
                <w:color w:val="auto"/>
                <w:kern w:val="24"/>
                <w:sz w:val="24"/>
              </w:rPr>
            </w:pPr>
            <w:r>
              <w:rPr>
                <w:rFonts w:hint="eastAsia"/>
                <w:snapToGrid w:val="0"/>
                <w:color w:val="auto"/>
                <w:kern w:val="24"/>
                <w:sz w:val="24"/>
              </w:rPr>
              <w:t>本项目液态危废收集时置于密闭桶内，确保车间转移至危废仓库时不会发生散落、泄漏等状况。</w:t>
            </w:r>
          </w:p>
          <w:p w14:paraId="7374E0F3">
            <w:pPr>
              <w:spacing w:line="500" w:lineRule="atLeast"/>
              <w:ind w:firstLine="480" w:firstLineChars="200"/>
              <w:rPr>
                <w:snapToGrid w:val="0"/>
                <w:color w:val="auto"/>
                <w:kern w:val="24"/>
                <w:sz w:val="24"/>
              </w:rPr>
            </w:pPr>
            <w:r>
              <w:rPr>
                <w:rFonts w:hint="eastAsia"/>
                <w:snapToGrid w:val="0"/>
                <w:color w:val="auto"/>
                <w:kern w:val="24"/>
                <w:sz w:val="24"/>
              </w:rPr>
              <w:fldChar w:fldCharType="begin"/>
            </w:r>
            <w:r>
              <w:rPr>
                <w:rFonts w:hint="eastAsia"/>
                <w:snapToGrid w:val="0"/>
                <w:color w:val="auto"/>
                <w:kern w:val="24"/>
                <w:sz w:val="24"/>
              </w:rPr>
              <w:instrText xml:space="preserve"> = 3 \* ROMAN \* MERGEFORMAT </w:instrText>
            </w:r>
            <w:r>
              <w:rPr>
                <w:rFonts w:hint="eastAsia"/>
                <w:snapToGrid w:val="0"/>
                <w:color w:val="auto"/>
                <w:kern w:val="24"/>
                <w:sz w:val="24"/>
              </w:rPr>
              <w:fldChar w:fldCharType="separate"/>
            </w:r>
            <w:r>
              <w:rPr>
                <w:rFonts w:hint="eastAsia"/>
                <w:snapToGrid w:val="0"/>
                <w:color w:val="auto"/>
                <w:kern w:val="24"/>
                <w:sz w:val="24"/>
              </w:rPr>
              <w:t>III</w:t>
            </w:r>
            <w:r>
              <w:rPr>
                <w:rFonts w:hint="eastAsia"/>
                <w:snapToGrid w:val="0"/>
                <w:color w:val="auto"/>
                <w:kern w:val="24"/>
                <w:sz w:val="24"/>
              </w:rPr>
              <w:fldChar w:fldCharType="end"/>
            </w:r>
            <w:r>
              <w:rPr>
                <w:rFonts w:hint="eastAsia"/>
                <w:snapToGrid w:val="0"/>
                <w:color w:val="auto"/>
                <w:kern w:val="24"/>
                <w:sz w:val="24"/>
              </w:rPr>
              <w:t>、委托处置的环境可行分析</w:t>
            </w:r>
          </w:p>
          <w:p w14:paraId="52D1FEB0">
            <w:pPr>
              <w:spacing w:line="500" w:lineRule="atLeast"/>
              <w:ind w:firstLine="480" w:firstLineChars="200"/>
              <w:rPr>
                <w:snapToGrid w:val="0"/>
                <w:color w:val="auto"/>
                <w:kern w:val="24"/>
                <w:sz w:val="24"/>
              </w:rPr>
            </w:pPr>
            <w:r>
              <w:rPr>
                <w:rFonts w:hint="eastAsia"/>
                <w:snapToGrid w:val="0"/>
                <w:color w:val="auto"/>
                <w:kern w:val="24"/>
                <w:sz w:val="24"/>
              </w:rPr>
              <w:t>针对于本项目的危险废物，</w:t>
            </w:r>
            <w:r>
              <w:rPr>
                <w:snapToGrid w:val="0"/>
                <w:color w:val="auto"/>
                <w:kern w:val="24"/>
                <w:sz w:val="24"/>
              </w:rPr>
              <w:t>根据《国家危险废物名录》</w:t>
            </w:r>
            <w:r>
              <w:rPr>
                <w:rFonts w:hint="eastAsia"/>
                <w:snapToGrid w:val="0"/>
                <w:color w:val="auto"/>
                <w:kern w:val="24"/>
                <w:sz w:val="24"/>
              </w:rPr>
              <w:t>，本项目的固废——</w:t>
            </w:r>
            <w:r>
              <w:rPr>
                <w:rFonts w:hint="eastAsia"/>
                <w:color w:val="auto"/>
                <w:sz w:val="24"/>
              </w:rPr>
              <w:t>废机油、废机油桶</w:t>
            </w:r>
            <w:r>
              <w:rPr>
                <w:rFonts w:hint="eastAsia"/>
                <w:snapToGrid w:val="0"/>
                <w:color w:val="auto"/>
                <w:kern w:val="24"/>
                <w:sz w:val="24"/>
              </w:rPr>
              <w:t>属于危险废物，收集后暂存于危废库暂存，定期</w:t>
            </w:r>
            <w:r>
              <w:rPr>
                <w:snapToGrid w:val="0"/>
                <w:color w:val="auto"/>
                <w:kern w:val="24"/>
                <w:sz w:val="24"/>
              </w:rPr>
              <w:t>交由</w:t>
            </w:r>
            <w:r>
              <w:rPr>
                <w:rFonts w:hint="eastAsia"/>
                <w:snapToGrid w:val="0"/>
                <w:color w:val="auto"/>
                <w:kern w:val="24"/>
                <w:sz w:val="24"/>
              </w:rPr>
              <w:t>有危废处置资质的单位代为处理，报环保部门备案。</w:t>
            </w:r>
          </w:p>
          <w:p w14:paraId="10050C0C">
            <w:pPr>
              <w:spacing w:line="500" w:lineRule="atLeast"/>
              <w:ind w:firstLine="480" w:firstLineChars="200"/>
              <w:rPr>
                <w:snapToGrid w:val="0"/>
                <w:color w:val="auto"/>
                <w:kern w:val="24"/>
                <w:sz w:val="24"/>
              </w:rPr>
            </w:pPr>
            <w:r>
              <w:rPr>
                <w:rFonts w:hint="eastAsia"/>
                <w:snapToGrid w:val="0"/>
                <w:color w:val="auto"/>
                <w:kern w:val="24"/>
                <w:sz w:val="24"/>
              </w:rPr>
              <w:t>B、污染防治措施</w:t>
            </w:r>
          </w:p>
          <w:p w14:paraId="11A6BE24">
            <w:pPr>
              <w:spacing w:line="500" w:lineRule="atLeast"/>
              <w:ind w:firstLine="480" w:firstLineChars="200"/>
              <w:rPr>
                <w:snapToGrid w:val="0"/>
                <w:color w:val="auto"/>
                <w:kern w:val="24"/>
                <w:sz w:val="24"/>
              </w:rPr>
            </w:pPr>
            <w:r>
              <w:rPr>
                <w:rFonts w:hint="eastAsia"/>
                <w:snapToGrid w:val="0"/>
                <w:color w:val="auto"/>
                <w:kern w:val="24"/>
                <w:sz w:val="24"/>
              </w:rPr>
              <w:fldChar w:fldCharType="begin"/>
            </w:r>
            <w:r>
              <w:rPr>
                <w:rFonts w:hint="eastAsia"/>
                <w:snapToGrid w:val="0"/>
                <w:color w:val="auto"/>
                <w:kern w:val="24"/>
                <w:sz w:val="24"/>
              </w:rPr>
              <w:instrText xml:space="preserve"> = 1 \* ROMAN \* MERGEFORMAT </w:instrText>
            </w:r>
            <w:r>
              <w:rPr>
                <w:rFonts w:hint="eastAsia"/>
                <w:snapToGrid w:val="0"/>
                <w:color w:val="auto"/>
                <w:kern w:val="24"/>
                <w:sz w:val="24"/>
              </w:rPr>
              <w:fldChar w:fldCharType="separate"/>
            </w:r>
            <w:r>
              <w:rPr>
                <w:rFonts w:hint="eastAsia"/>
                <w:snapToGrid w:val="0"/>
                <w:color w:val="auto"/>
                <w:kern w:val="24"/>
                <w:sz w:val="24"/>
              </w:rPr>
              <w:t>I</w:t>
            </w:r>
            <w:r>
              <w:rPr>
                <w:rFonts w:hint="eastAsia"/>
                <w:snapToGrid w:val="0"/>
                <w:color w:val="auto"/>
                <w:kern w:val="24"/>
                <w:sz w:val="24"/>
              </w:rPr>
              <w:fldChar w:fldCharType="end"/>
            </w:r>
            <w:r>
              <w:rPr>
                <w:rFonts w:hint="eastAsia"/>
                <w:snapToGrid w:val="0"/>
                <w:color w:val="auto"/>
                <w:kern w:val="24"/>
                <w:sz w:val="24"/>
              </w:rPr>
              <w:t>、贮存场所（设施）</w:t>
            </w:r>
          </w:p>
          <w:p w14:paraId="5975D140">
            <w:pPr>
              <w:spacing w:line="500" w:lineRule="atLeast"/>
              <w:ind w:firstLine="480" w:firstLineChars="200"/>
              <w:rPr>
                <w:snapToGrid w:val="0"/>
                <w:color w:val="auto"/>
                <w:kern w:val="24"/>
                <w:sz w:val="24"/>
              </w:rPr>
            </w:pPr>
            <w:r>
              <w:rPr>
                <w:rFonts w:hint="eastAsia"/>
                <w:snapToGrid w:val="0"/>
                <w:color w:val="auto"/>
                <w:kern w:val="24"/>
                <w:sz w:val="24"/>
              </w:rPr>
              <w:t>本项目危废暂存场所基本情况见下表：</w:t>
            </w:r>
          </w:p>
          <w:p w14:paraId="024F76C9">
            <w:pPr>
              <w:spacing w:line="500" w:lineRule="exact"/>
              <w:jc w:val="center"/>
              <w:rPr>
                <w:snapToGrid w:val="0"/>
                <w:color w:val="auto"/>
                <w:kern w:val="24"/>
                <w:sz w:val="24"/>
              </w:rPr>
            </w:pPr>
            <w:r>
              <w:rPr>
                <w:rFonts w:hint="eastAsia"/>
                <w:b/>
                <w:snapToGrid w:val="0"/>
                <w:color w:val="auto"/>
                <w:kern w:val="24"/>
                <w:sz w:val="24"/>
              </w:rPr>
              <w:t>表</w:t>
            </w:r>
            <w:r>
              <w:rPr>
                <w:b/>
                <w:snapToGrid w:val="0"/>
                <w:color w:val="auto"/>
                <w:kern w:val="24"/>
                <w:sz w:val="24"/>
              </w:rPr>
              <w:t>4-</w:t>
            </w:r>
            <w:r>
              <w:rPr>
                <w:rFonts w:hint="eastAsia"/>
                <w:b/>
                <w:snapToGrid w:val="0"/>
                <w:color w:val="auto"/>
                <w:kern w:val="24"/>
                <w:sz w:val="24"/>
                <w:lang w:val="en-US" w:eastAsia="zh-CN"/>
              </w:rPr>
              <w:t>20</w:t>
            </w:r>
            <w:r>
              <w:rPr>
                <w:b/>
                <w:snapToGrid w:val="0"/>
                <w:color w:val="auto"/>
                <w:kern w:val="24"/>
                <w:sz w:val="24"/>
              </w:rPr>
              <w:t xml:space="preserve"> </w:t>
            </w:r>
            <w:r>
              <w:rPr>
                <w:rFonts w:hint="eastAsia"/>
                <w:b/>
                <w:snapToGrid w:val="0"/>
                <w:color w:val="auto"/>
                <w:kern w:val="24"/>
                <w:sz w:val="24"/>
              </w:rPr>
              <w:t>危险废物贮存场所（设施）基本情况一览表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18"/>
              <w:gridCol w:w="1240"/>
              <w:gridCol w:w="904"/>
              <w:gridCol w:w="1257"/>
              <w:gridCol w:w="811"/>
              <w:gridCol w:w="556"/>
              <w:gridCol w:w="1560"/>
              <w:gridCol w:w="1136"/>
              <w:gridCol w:w="526"/>
            </w:tblGrid>
            <w:tr w14:paraId="0BEF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6" w:type="pct"/>
                  <w:vAlign w:val="center"/>
                </w:tcPr>
                <w:p w14:paraId="155D368D">
                  <w:pPr>
                    <w:ind w:left="-105" w:leftChars="-50" w:right="-105" w:rightChars="-50"/>
                    <w:jc w:val="center"/>
                    <w:rPr>
                      <w:snapToGrid w:val="0"/>
                      <w:color w:val="auto"/>
                      <w:kern w:val="24"/>
                      <w:szCs w:val="21"/>
                    </w:rPr>
                  </w:pPr>
                  <w:r>
                    <w:rPr>
                      <w:rFonts w:hint="eastAsia"/>
                      <w:snapToGrid w:val="0"/>
                      <w:color w:val="auto"/>
                      <w:kern w:val="24"/>
                      <w:szCs w:val="21"/>
                    </w:rPr>
                    <w:t>序号</w:t>
                  </w:r>
                </w:p>
              </w:tc>
              <w:tc>
                <w:tcPr>
                  <w:tcW w:w="484" w:type="pct"/>
                  <w:vAlign w:val="center"/>
                </w:tcPr>
                <w:p w14:paraId="4967E779">
                  <w:pPr>
                    <w:ind w:left="-105" w:leftChars="-50" w:right="-105" w:rightChars="-50"/>
                    <w:jc w:val="center"/>
                    <w:rPr>
                      <w:snapToGrid w:val="0"/>
                      <w:color w:val="auto"/>
                      <w:kern w:val="24"/>
                      <w:szCs w:val="21"/>
                    </w:rPr>
                  </w:pPr>
                  <w:r>
                    <w:rPr>
                      <w:rFonts w:hint="eastAsia"/>
                      <w:snapToGrid w:val="0"/>
                      <w:color w:val="auto"/>
                      <w:kern w:val="24"/>
                      <w:szCs w:val="21"/>
                    </w:rPr>
                    <w:t>贮存场所</w:t>
                  </w:r>
                </w:p>
              </w:tc>
              <w:tc>
                <w:tcPr>
                  <w:tcW w:w="654" w:type="pct"/>
                  <w:vAlign w:val="center"/>
                </w:tcPr>
                <w:p w14:paraId="7E65DF86">
                  <w:pPr>
                    <w:ind w:left="-105" w:leftChars="-50" w:right="-105" w:rightChars="-50"/>
                    <w:jc w:val="center"/>
                    <w:rPr>
                      <w:snapToGrid w:val="0"/>
                      <w:color w:val="auto"/>
                      <w:kern w:val="24"/>
                      <w:szCs w:val="21"/>
                    </w:rPr>
                  </w:pPr>
                  <w:r>
                    <w:rPr>
                      <w:rFonts w:hint="eastAsia"/>
                      <w:snapToGrid w:val="0"/>
                      <w:color w:val="auto"/>
                      <w:kern w:val="24"/>
                      <w:szCs w:val="21"/>
                    </w:rPr>
                    <w:t>危废名称</w:t>
                  </w:r>
                </w:p>
              </w:tc>
              <w:tc>
                <w:tcPr>
                  <w:tcW w:w="477" w:type="pct"/>
                  <w:vAlign w:val="center"/>
                </w:tcPr>
                <w:p w14:paraId="39413DF9">
                  <w:pPr>
                    <w:ind w:left="-105" w:leftChars="-50" w:right="-105" w:rightChars="-50"/>
                    <w:jc w:val="center"/>
                    <w:rPr>
                      <w:snapToGrid w:val="0"/>
                      <w:color w:val="auto"/>
                      <w:kern w:val="24"/>
                      <w:szCs w:val="21"/>
                    </w:rPr>
                  </w:pPr>
                  <w:r>
                    <w:rPr>
                      <w:rFonts w:hint="eastAsia"/>
                      <w:snapToGrid w:val="0"/>
                      <w:color w:val="auto"/>
                      <w:kern w:val="24"/>
                      <w:szCs w:val="21"/>
                    </w:rPr>
                    <w:t>危废类别</w:t>
                  </w:r>
                </w:p>
              </w:tc>
              <w:tc>
                <w:tcPr>
                  <w:tcW w:w="663" w:type="pct"/>
                  <w:vAlign w:val="center"/>
                </w:tcPr>
                <w:p w14:paraId="46404595">
                  <w:pPr>
                    <w:ind w:left="-105" w:leftChars="-50" w:right="-105" w:rightChars="-50"/>
                    <w:jc w:val="center"/>
                    <w:rPr>
                      <w:snapToGrid w:val="0"/>
                      <w:color w:val="auto"/>
                      <w:kern w:val="24"/>
                      <w:szCs w:val="21"/>
                    </w:rPr>
                  </w:pPr>
                  <w:r>
                    <w:rPr>
                      <w:rFonts w:hint="eastAsia"/>
                      <w:snapToGrid w:val="0"/>
                      <w:color w:val="auto"/>
                      <w:kern w:val="24"/>
                      <w:szCs w:val="21"/>
                    </w:rPr>
                    <w:t>危废代码</w:t>
                  </w:r>
                </w:p>
              </w:tc>
              <w:tc>
                <w:tcPr>
                  <w:tcW w:w="428" w:type="pct"/>
                  <w:vAlign w:val="center"/>
                </w:tcPr>
                <w:p w14:paraId="43789F48">
                  <w:pPr>
                    <w:ind w:left="-105" w:leftChars="-50" w:right="-105" w:rightChars="-50"/>
                    <w:jc w:val="center"/>
                    <w:rPr>
                      <w:snapToGrid w:val="0"/>
                      <w:color w:val="auto"/>
                      <w:kern w:val="24"/>
                      <w:szCs w:val="21"/>
                    </w:rPr>
                  </w:pPr>
                  <w:r>
                    <w:rPr>
                      <w:rFonts w:hint="eastAsia"/>
                      <w:snapToGrid w:val="0"/>
                      <w:color w:val="auto"/>
                      <w:kern w:val="24"/>
                      <w:szCs w:val="21"/>
                    </w:rPr>
                    <w:t>位置</w:t>
                  </w:r>
                </w:p>
              </w:tc>
              <w:tc>
                <w:tcPr>
                  <w:tcW w:w="293" w:type="pct"/>
                  <w:vAlign w:val="center"/>
                </w:tcPr>
                <w:p w14:paraId="06D433A8">
                  <w:pPr>
                    <w:ind w:left="-105" w:leftChars="-50" w:right="-105" w:rightChars="-50"/>
                    <w:jc w:val="center"/>
                    <w:rPr>
                      <w:snapToGrid w:val="0"/>
                      <w:color w:val="auto"/>
                      <w:kern w:val="24"/>
                      <w:szCs w:val="21"/>
                    </w:rPr>
                  </w:pPr>
                  <w:r>
                    <w:rPr>
                      <w:rFonts w:hint="eastAsia"/>
                      <w:snapToGrid w:val="0"/>
                      <w:color w:val="auto"/>
                      <w:kern w:val="24"/>
                      <w:szCs w:val="21"/>
                    </w:rPr>
                    <w:t>占地面积</w:t>
                  </w:r>
                </w:p>
              </w:tc>
              <w:tc>
                <w:tcPr>
                  <w:tcW w:w="823" w:type="pct"/>
                  <w:vAlign w:val="center"/>
                </w:tcPr>
                <w:p w14:paraId="7F22D703">
                  <w:pPr>
                    <w:ind w:left="-105" w:leftChars="-50" w:right="-105" w:rightChars="-50"/>
                    <w:jc w:val="center"/>
                    <w:rPr>
                      <w:snapToGrid w:val="0"/>
                      <w:color w:val="auto"/>
                      <w:kern w:val="24"/>
                      <w:szCs w:val="21"/>
                    </w:rPr>
                  </w:pPr>
                  <w:r>
                    <w:rPr>
                      <w:rFonts w:hint="eastAsia"/>
                      <w:snapToGrid w:val="0"/>
                      <w:color w:val="auto"/>
                      <w:kern w:val="24"/>
                      <w:szCs w:val="21"/>
                    </w:rPr>
                    <w:t>贮存方式</w:t>
                  </w:r>
                </w:p>
              </w:tc>
              <w:tc>
                <w:tcPr>
                  <w:tcW w:w="599" w:type="pct"/>
                  <w:vAlign w:val="center"/>
                </w:tcPr>
                <w:p w14:paraId="67CE5306">
                  <w:pPr>
                    <w:ind w:left="-105" w:leftChars="-50" w:right="-105" w:rightChars="-50"/>
                    <w:jc w:val="center"/>
                    <w:rPr>
                      <w:snapToGrid w:val="0"/>
                      <w:color w:val="auto"/>
                      <w:kern w:val="24"/>
                      <w:szCs w:val="21"/>
                    </w:rPr>
                  </w:pPr>
                  <w:r>
                    <w:rPr>
                      <w:rFonts w:hint="eastAsia"/>
                      <w:snapToGrid w:val="0"/>
                      <w:color w:val="auto"/>
                      <w:kern w:val="24"/>
                      <w:szCs w:val="21"/>
                    </w:rPr>
                    <w:t>贮存能力</w:t>
                  </w:r>
                </w:p>
              </w:tc>
              <w:tc>
                <w:tcPr>
                  <w:tcW w:w="277" w:type="pct"/>
                  <w:vAlign w:val="center"/>
                </w:tcPr>
                <w:p w14:paraId="0A82AD27">
                  <w:pPr>
                    <w:ind w:left="-105" w:leftChars="-50" w:right="-105" w:rightChars="-50"/>
                    <w:jc w:val="center"/>
                    <w:rPr>
                      <w:snapToGrid w:val="0"/>
                      <w:color w:val="auto"/>
                      <w:kern w:val="24"/>
                      <w:szCs w:val="21"/>
                    </w:rPr>
                  </w:pPr>
                  <w:r>
                    <w:rPr>
                      <w:rFonts w:hint="eastAsia"/>
                      <w:snapToGrid w:val="0"/>
                      <w:color w:val="auto"/>
                      <w:kern w:val="24"/>
                      <w:szCs w:val="21"/>
                    </w:rPr>
                    <w:t>贮存周期</w:t>
                  </w:r>
                </w:p>
              </w:tc>
            </w:tr>
            <w:tr w14:paraId="3AA0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96" w:type="pct"/>
                  <w:vAlign w:val="center"/>
                </w:tcPr>
                <w:p w14:paraId="09B82F02">
                  <w:pPr>
                    <w:ind w:left="-105" w:leftChars="-50" w:right="-105" w:rightChars="-50"/>
                    <w:jc w:val="center"/>
                    <w:rPr>
                      <w:snapToGrid w:val="0"/>
                      <w:color w:val="auto"/>
                      <w:kern w:val="24"/>
                      <w:szCs w:val="21"/>
                    </w:rPr>
                  </w:pPr>
                  <w:r>
                    <w:rPr>
                      <w:snapToGrid w:val="0"/>
                      <w:color w:val="auto"/>
                      <w:kern w:val="24"/>
                      <w:szCs w:val="21"/>
                    </w:rPr>
                    <w:t>1</w:t>
                  </w:r>
                </w:p>
              </w:tc>
              <w:tc>
                <w:tcPr>
                  <w:tcW w:w="484" w:type="pct"/>
                  <w:vMerge w:val="restart"/>
                  <w:vAlign w:val="center"/>
                </w:tcPr>
                <w:p w14:paraId="2258F40C">
                  <w:pPr>
                    <w:ind w:left="-105" w:leftChars="-50" w:right="-105" w:rightChars="-50"/>
                    <w:jc w:val="center"/>
                    <w:rPr>
                      <w:snapToGrid w:val="0"/>
                      <w:color w:val="auto"/>
                      <w:kern w:val="24"/>
                      <w:szCs w:val="21"/>
                    </w:rPr>
                  </w:pPr>
                  <w:r>
                    <w:rPr>
                      <w:rFonts w:hint="eastAsia"/>
                      <w:snapToGrid w:val="0"/>
                      <w:color w:val="auto"/>
                      <w:kern w:val="24"/>
                      <w:szCs w:val="21"/>
                    </w:rPr>
                    <w:t>危废</w:t>
                  </w:r>
                </w:p>
                <w:p w14:paraId="1EE28DA5">
                  <w:pPr>
                    <w:ind w:left="-105" w:leftChars="-50" w:right="-105" w:rightChars="-50"/>
                    <w:jc w:val="center"/>
                    <w:rPr>
                      <w:snapToGrid w:val="0"/>
                      <w:color w:val="auto"/>
                      <w:kern w:val="24"/>
                      <w:szCs w:val="21"/>
                    </w:rPr>
                  </w:pPr>
                  <w:r>
                    <w:rPr>
                      <w:rFonts w:hint="eastAsia"/>
                      <w:snapToGrid w:val="0"/>
                      <w:color w:val="auto"/>
                      <w:kern w:val="24"/>
                      <w:szCs w:val="21"/>
                    </w:rPr>
                    <w:t>暂存间</w:t>
                  </w:r>
                </w:p>
              </w:tc>
              <w:tc>
                <w:tcPr>
                  <w:tcW w:w="654" w:type="pct"/>
                  <w:vAlign w:val="center"/>
                </w:tcPr>
                <w:p w14:paraId="2A1768E3">
                  <w:pPr>
                    <w:ind w:right="-55" w:rightChars="0"/>
                    <w:jc w:val="center"/>
                    <w:rPr>
                      <w:rFonts w:eastAsiaTheme="minorEastAsia"/>
                      <w:snapToGrid w:val="0"/>
                      <w:color w:val="auto"/>
                      <w:kern w:val="0"/>
                      <w:szCs w:val="21"/>
                    </w:rPr>
                  </w:pPr>
                  <w:r>
                    <w:rPr>
                      <w:rFonts w:eastAsiaTheme="minorEastAsia"/>
                      <w:color w:val="auto"/>
                      <w:szCs w:val="21"/>
                    </w:rPr>
                    <w:t>废机油</w:t>
                  </w:r>
                </w:p>
              </w:tc>
              <w:tc>
                <w:tcPr>
                  <w:tcW w:w="477" w:type="pct"/>
                  <w:vAlign w:val="center"/>
                </w:tcPr>
                <w:p w14:paraId="35EFB50F">
                  <w:pPr>
                    <w:ind w:left="-105" w:leftChars="-50" w:right="-105" w:rightChars="-50"/>
                    <w:jc w:val="center"/>
                    <w:rPr>
                      <w:rFonts w:eastAsiaTheme="minorEastAsia"/>
                      <w:snapToGrid w:val="0"/>
                      <w:color w:val="auto"/>
                      <w:kern w:val="0"/>
                      <w:szCs w:val="21"/>
                    </w:rPr>
                  </w:pPr>
                  <w:r>
                    <w:rPr>
                      <w:rFonts w:eastAsiaTheme="minorEastAsia"/>
                      <w:color w:val="auto"/>
                      <w:szCs w:val="21"/>
                    </w:rPr>
                    <w:t>HW08</w:t>
                  </w:r>
                </w:p>
              </w:tc>
              <w:tc>
                <w:tcPr>
                  <w:tcW w:w="663" w:type="pct"/>
                  <w:vAlign w:val="center"/>
                </w:tcPr>
                <w:p w14:paraId="64E1D26B">
                  <w:pPr>
                    <w:jc w:val="center"/>
                    <w:rPr>
                      <w:snapToGrid w:val="0"/>
                      <w:color w:val="auto"/>
                      <w:kern w:val="0"/>
                      <w:szCs w:val="21"/>
                    </w:rPr>
                  </w:pPr>
                  <w:r>
                    <w:rPr>
                      <w:color w:val="auto"/>
                      <w:szCs w:val="21"/>
                    </w:rPr>
                    <w:t>900-214-08</w:t>
                  </w:r>
                </w:p>
              </w:tc>
              <w:tc>
                <w:tcPr>
                  <w:tcW w:w="428" w:type="pct"/>
                  <w:vMerge w:val="restart"/>
                  <w:vAlign w:val="center"/>
                </w:tcPr>
                <w:p w14:paraId="5CE6B2DC">
                  <w:pPr>
                    <w:ind w:left="-105" w:leftChars="-50" w:right="-105" w:rightChars="-50"/>
                    <w:jc w:val="center"/>
                    <w:rPr>
                      <w:rFonts w:hint="default" w:eastAsia="宋体"/>
                      <w:snapToGrid w:val="0"/>
                      <w:color w:val="auto"/>
                      <w:kern w:val="24"/>
                      <w:szCs w:val="21"/>
                      <w:lang w:val="en-US" w:eastAsia="zh-CN"/>
                    </w:rPr>
                  </w:pPr>
                  <w:r>
                    <w:rPr>
                      <w:rFonts w:hint="eastAsia"/>
                      <w:snapToGrid w:val="0"/>
                      <w:color w:val="auto"/>
                      <w:kern w:val="24"/>
                      <w:szCs w:val="21"/>
                      <w:lang w:val="en-US" w:eastAsia="zh-CN"/>
                    </w:rPr>
                    <w:t>仓库西南侧</w:t>
                  </w:r>
                </w:p>
              </w:tc>
              <w:tc>
                <w:tcPr>
                  <w:tcW w:w="293" w:type="pct"/>
                  <w:vMerge w:val="restart"/>
                  <w:vAlign w:val="center"/>
                </w:tcPr>
                <w:p w14:paraId="089A040E">
                  <w:pPr>
                    <w:ind w:left="-105" w:leftChars="-50" w:right="-105" w:rightChars="-50"/>
                    <w:jc w:val="center"/>
                    <w:rPr>
                      <w:rFonts w:hint="default" w:eastAsia="宋体"/>
                      <w:snapToGrid w:val="0"/>
                      <w:color w:val="auto"/>
                      <w:kern w:val="24"/>
                      <w:szCs w:val="21"/>
                      <w:lang w:val="en-US" w:eastAsia="zh-CN"/>
                    </w:rPr>
                  </w:pPr>
                  <w:r>
                    <w:rPr>
                      <w:rFonts w:hint="eastAsia"/>
                      <w:snapToGrid w:val="0"/>
                      <w:color w:val="auto"/>
                      <w:kern w:val="24"/>
                      <w:szCs w:val="21"/>
                      <w:lang w:val="en-US" w:eastAsia="zh-CN"/>
                    </w:rPr>
                    <w:t>10m</w:t>
                  </w:r>
                  <w:r>
                    <w:rPr>
                      <w:rFonts w:hint="eastAsia"/>
                      <w:snapToGrid w:val="0"/>
                      <w:color w:val="auto"/>
                      <w:kern w:val="24"/>
                      <w:szCs w:val="21"/>
                      <w:vertAlign w:val="superscript"/>
                      <w:lang w:val="en-US" w:eastAsia="zh-CN"/>
                    </w:rPr>
                    <w:t>2</w:t>
                  </w:r>
                </w:p>
              </w:tc>
              <w:tc>
                <w:tcPr>
                  <w:tcW w:w="823" w:type="pct"/>
                  <w:vAlign w:val="center"/>
                </w:tcPr>
                <w:p w14:paraId="64FCB640">
                  <w:pPr>
                    <w:ind w:left="-105" w:leftChars="-50" w:right="-105" w:rightChars="-50"/>
                    <w:jc w:val="center"/>
                    <w:rPr>
                      <w:snapToGrid w:val="0"/>
                      <w:color w:val="auto"/>
                      <w:kern w:val="24"/>
                      <w:szCs w:val="21"/>
                    </w:rPr>
                  </w:pPr>
                  <w:r>
                    <w:rPr>
                      <w:rFonts w:hint="eastAsia"/>
                      <w:snapToGrid w:val="0"/>
                      <w:color w:val="auto"/>
                      <w:kern w:val="24"/>
                      <w:szCs w:val="21"/>
                    </w:rPr>
                    <w:t>桶装</w:t>
                  </w:r>
                </w:p>
              </w:tc>
              <w:tc>
                <w:tcPr>
                  <w:tcW w:w="599" w:type="pct"/>
                  <w:vAlign w:val="center"/>
                </w:tcPr>
                <w:p w14:paraId="26B748E9">
                  <w:pPr>
                    <w:ind w:left="-105" w:leftChars="-50" w:right="-105" w:rightChars="-50"/>
                    <w:jc w:val="center"/>
                    <w:rPr>
                      <w:color w:val="auto"/>
                      <w:szCs w:val="21"/>
                    </w:rPr>
                  </w:pPr>
                  <w:r>
                    <w:rPr>
                      <w:snapToGrid w:val="0"/>
                      <w:color w:val="auto"/>
                      <w:kern w:val="0"/>
                      <w:szCs w:val="21"/>
                    </w:rPr>
                    <w:t>0.1t/a</w:t>
                  </w:r>
                </w:p>
              </w:tc>
              <w:tc>
                <w:tcPr>
                  <w:tcW w:w="277" w:type="pct"/>
                  <w:vMerge w:val="restart"/>
                  <w:vAlign w:val="center"/>
                </w:tcPr>
                <w:p w14:paraId="4CDE64FD">
                  <w:pPr>
                    <w:ind w:left="-105" w:leftChars="-50" w:right="-105" w:rightChars="-50"/>
                    <w:jc w:val="center"/>
                    <w:rPr>
                      <w:snapToGrid w:val="0"/>
                      <w:color w:val="auto"/>
                      <w:kern w:val="24"/>
                      <w:szCs w:val="21"/>
                    </w:rPr>
                  </w:pPr>
                  <w:r>
                    <w:rPr>
                      <w:rFonts w:hint="eastAsia"/>
                      <w:snapToGrid w:val="0"/>
                      <w:color w:val="auto"/>
                      <w:kern w:val="24"/>
                      <w:szCs w:val="21"/>
                    </w:rPr>
                    <w:t>半年</w:t>
                  </w:r>
                </w:p>
              </w:tc>
            </w:tr>
            <w:tr w14:paraId="3AB6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96" w:type="pct"/>
                  <w:vAlign w:val="center"/>
                </w:tcPr>
                <w:p w14:paraId="55B788DC">
                  <w:pPr>
                    <w:ind w:left="-105" w:leftChars="-50" w:right="-105" w:rightChars="-50"/>
                    <w:jc w:val="center"/>
                    <w:rPr>
                      <w:snapToGrid w:val="0"/>
                      <w:color w:val="auto"/>
                      <w:kern w:val="24"/>
                      <w:szCs w:val="21"/>
                    </w:rPr>
                  </w:pPr>
                  <w:r>
                    <w:rPr>
                      <w:rFonts w:hint="eastAsia"/>
                      <w:snapToGrid w:val="0"/>
                      <w:color w:val="auto"/>
                      <w:kern w:val="24"/>
                      <w:szCs w:val="21"/>
                    </w:rPr>
                    <w:t>2</w:t>
                  </w:r>
                </w:p>
              </w:tc>
              <w:tc>
                <w:tcPr>
                  <w:tcW w:w="484" w:type="pct"/>
                  <w:vMerge w:val="continue"/>
                  <w:vAlign w:val="center"/>
                </w:tcPr>
                <w:p w14:paraId="0DD3580C">
                  <w:pPr>
                    <w:ind w:left="-105" w:leftChars="-50" w:right="-105" w:rightChars="-50"/>
                    <w:jc w:val="center"/>
                    <w:rPr>
                      <w:snapToGrid w:val="0"/>
                      <w:color w:val="auto"/>
                      <w:kern w:val="24"/>
                      <w:szCs w:val="21"/>
                    </w:rPr>
                  </w:pPr>
                </w:p>
              </w:tc>
              <w:tc>
                <w:tcPr>
                  <w:tcW w:w="654" w:type="pct"/>
                  <w:vAlign w:val="center"/>
                </w:tcPr>
                <w:p w14:paraId="7A0386AD">
                  <w:pPr>
                    <w:ind w:right="-55" w:rightChars="0"/>
                    <w:jc w:val="center"/>
                    <w:rPr>
                      <w:rFonts w:eastAsiaTheme="minorEastAsia"/>
                      <w:color w:val="auto"/>
                      <w:szCs w:val="21"/>
                    </w:rPr>
                  </w:pPr>
                  <w:r>
                    <w:rPr>
                      <w:rFonts w:eastAsiaTheme="minorEastAsia"/>
                      <w:color w:val="auto"/>
                      <w:szCs w:val="21"/>
                    </w:rPr>
                    <w:t>废机油桶</w:t>
                  </w:r>
                </w:p>
              </w:tc>
              <w:tc>
                <w:tcPr>
                  <w:tcW w:w="477" w:type="pct"/>
                  <w:vAlign w:val="center"/>
                </w:tcPr>
                <w:p w14:paraId="0FF97C05">
                  <w:pPr>
                    <w:ind w:left="-105" w:leftChars="-50" w:right="-105" w:rightChars="-50"/>
                    <w:jc w:val="center"/>
                    <w:rPr>
                      <w:rFonts w:eastAsiaTheme="minorEastAsia"/>
                      <w:color w:val="auto"/>
                      <w:szCs w:val="21"/>
                    </w:rPr>
                  </w:pPr>
                  <w:r>
                    <w:rPr>
                      <w:rFonts w:eastAsiaTheme="minorEastAsia"/>
                      <w:color w:val="auto"/>
                      <w:szCs w:val="21"/>
                    </w:rPr>
                    <w:t>HW08</w:t>
                  </w:r>
                </w:p>
              </w:tc>
              <w:tc>
                <w:tcPr>
                  <w:tcW w:w="663" w:type="pct"/>
                  <w:vAlign w:val="center"/>
                </w:tcPr>
                <w:p w14:paraId="05ED5E71">
                  <w:pPr>
                    <w:jc w:val="center"/>
                    <w:rPr>
                      <w:snapToGrid w:val="0"/>
                      <w:color w:val="auto"/>
                      <w:kern w:val="0"/>
                      <w:szCs w:val="21"/>
                    </w:rPr>
                  </w:pPr>
                  <w:r>
                    <w:rPr>
                      <w:snapToGrid w:val="0"/>
                      <w:color w:val="auto"/>
                      <w:kern w:val="0"/>
                      <w:szCs w:val="21"/>
                    </w:rPr>
                    <w:t>900-249-08</w:t>
                  </w:r>
                </w:p>
              </w:tc>
              <w:tc>
                <w:tcPr>
                  <w:tcW w:w="428" w:type="pct"/>
                  <w:vMerge w:val="continue"/>
                  <w:vAlign w:val="center"/>
                </w:tcPr>
                <w:p w14:paraId="1C25A9F6">
                  <w:pPr>
                    <w:ind w:left="-105" w:leftChars="-50" w:right="-105" w:rightChars="-50"/>
                    <w:jc w:val="center"/>
                    <w:rPr>
                      <w:color w:val="auto"/>
                      <w:szCs w:val="21"/>
                    </w:rPr>
                  </w:pPr>
                </w:p>
              </w:tc>
              <w:tc>
                <w:tcPr>
                  <w:tcW w:w="293" w:type="pct"/>
                  <w:vMerge w:val="continue"/>
                  <w:vAlign w:val="center"/>
                </w:tcPr>
                <w:p w14:paraId="7038A0AF">
                  <w:pPr>
                    <w:ind w:left="-105" w:leftChars="-50" w:right="-105" w:rightChars="-50"/>
                    <w:jc w:val="center"/>
                    <w:rPr>
                      <w:snapToGrid w:val="0"/>
                      <w:color w:val="auto"/>
                      <w:kern w:val="24"/>
                      <w:szCs w:val="21"/>
                    </w:rPr>
                  </w:pPr>
                </w:p>
              </w:tc>
              <w:tc>
                <w:tcPr>
                  <w:tcW w:w="823" w:type="pct"/>
                  <w:vAlign w:val="center"/>
                </w:tcPr>
                <w:p w14:paraId="7248CC17">
                  <w:pPr>
                    <w:ind w:left="-105" w:leftChars="-50" w:right="-105" w:rightChars="-50"/>
                    <w:jc w:val="center"/>
                    <w:rPr>
                      <w:snapToGrid w:val="0"/>
                      <w:color w:val="auto"/>
                      <w:kern w:val="24"/>
                      <w:szCs w:val="21"/>
                    </w:rPr>
                  </w:pPr>
                  <w:r>
                    <w:rPr>
                      <w:rFonts w:hint="eastAsia"/>
                      <w:snapToGrid w:val="0"/>
                      <w:color w:val="auto"/>
                      <w:kern w:val="24"/>
                      <w:szCs w:val="21"/>
                    </w:rPr>
                    <w:t>堆放</w:t>
                  </w:r>
                </w:p>
              </w:tc>
              <w:tc>
                <w:tcPr>
                  <w:tcW w:w="599" w:type="pct"/>
                  <w:vAlign w:val="center"/>
                </w:tcPr>
                <w:p w14:paraId="11B424B9">
                  <w:pPr>
                    <w:ind w:left="-105" w:leftChars="-50" w:right="-105" w:rightChars="-50"/>
                    <w:jc w:val="center"/>
                    <w:rPr>
                      <w:snapToGrid w:val="0"/>
                      <w:color w:val="auto"/>
                      <w:kern w:val="0"/>
                      <w:szCs w:val="21"/>
                    </w:rPr>
                  </w:pPr>
                  <w:r>
                    <w:rPr>
                      <w:snapToGrid w:val="0"/>
                      <w:color w:val="auto"/>
                      <w:kern w:val="0"/>
                      <w:szCs w:val="21"/>
                    </w:rPr>
                    <w:t>0.01t/a</w:t>
                  </w:r>
                </w:p>
              </w:tc>
              <w:tc>
                <w:tcPr>
                  <w:tcW w:w="277" w:type="pct"/>
                  <w:vMerge w:val="continue"/>
                  <w:vAlign w:val="center"/>
                </w:tcPr>
                <w:p w14:paraId="6DB370AD">
                  <w:pPr>
                    <w:ind w:left="-105" w:leftChars="-50" w:right="-105" w:rightChars="-50"/>
                    <w:jc w:val="center"/>
                    <w:rPr>
                      <w:snapToGrid w:val="0"/>
                      <w:color w:val="auto"/>
                      <w:kern w:val="24"/>
                      <w:szCs w:val="21"/>
                    </w:rPr>
                  </w:pPr>
                </w:p>
              </w:tc>
            </w:tr>
          </w:tbl>
          <w:p w14:paraId="1FCCC668">
            <w:pPr>
              <w:spacing w:line="500" w:lineRule="atLeast"/>
              <w:ind w:firstLine="482"/>
              <w:rPr>
                <w:b/>
                <w:color w:val="auto"/>
                <w:sz w:val="24"/>
              </w:rPr>
            </w:pPr>
            <w:r>
              <w:rPr>
                <w:b/>
                <w:color w:val="auto"/>
                <w:sz w:val="24"/>
              </w:rPr>
              <w:t>危废库设置要求：</w:t>
            </w:r>
          </w:p>
          <w:p w14:paraId="2B62A44D">
            <w:pPr>
              <w:spacing w:line="500" w:lineRule="atLeast"/>
              <w:ind w:firstLine="482"/>
              <w:rPr>
                <w:color w:val="auto"/>
                <w:sz w:val="24"/>
              </w:rPr>
            </w:pPr>
            <w:r>
              <w:rPr>
                <w:color w:val="auto"/>
                <w:sz w:val="24"/>
              </w:rPr>
              <w:t>根据《危险废物贮存污染控制标准》（GB18597-2001），建设单位对危险固废暂存场所应做到以下几点：</w:t>
            </w:r>
          </w:p>
          <w:p w14:paraId="5DF05483">
            <w:pPr>
              <w:spacing w:line="500" w:lineRule="atLeast"/>
              <w:ind w:firstLine="606"/>
              <w:rPr>
                <w:color w:val="auto"/>
                <w:sz w:val="24"/>
              </w:rPr>
            </w:pPr>
            <w:r>
              <w:rPr>
                <w:rFonts w:hint="eastAsia" w:ascii="宋体" w:hAnsi="宋体" w:cs="宋体"/>
                <w:color w:val="auto"/>
                <w:sz w:val="24"/>
              </w:rPr>
              <w:t>①</w:t>
            </w:r>
            <w:r>
              <w:rPr>
                <w:snapToGrid w:val="0"/>
                <w:color w:val="auto"/>
                <w:kern w:val="0"/>
                <w:sz w:val="24"/>
              </w:rPr>
              <w:t>地面采用坚固、防渗、耐腐蚀的材料建造，并设计有堵截泄漏的裙脚、泄漏液体收集装置、气体导出口和气体净化装置。</w:t>
            </w:r>
          </w:p>
          <w:p w14:paraId="4595293D">
            <w:pPr>
              <w:spacing w:line="500" w:lineRule="atLeast"/>
              <w:ind w:firstLine="606"/>
              <w:rPr>
                <w:snapToGrid w:val="0"/>
                <w:color w:val="auto"/>
                <w:kern w:val="0"/>
                <w:sz w:val="24"/>
              </w:rPr>
            </w:pPr>
            <w:r>
              <w:rPr>
                <w:rFonts w:hint="eastAsia" w:ascii="宋体" w:hAnsi="宋体" w:cs="宋体"/>
                <w:color w:val="auto"/>
                <w:sz w:val="24"/>
              </w:rPr>
              <w:t>②</w:t>
            </w:r>
            <w:r>
              <w:rPr>
                <w:snapToGrid w:val="0"/>
                <w:color w:val="auto"/>
                <w:kern w:val="0"/>
                <w:sz w:val="24"/>
              </w:rPr>
              <w:t>设施内要有安全照明设施和观察窗口。</w:t>
            </w:r>
          </w:p>
          <w:p w14:paraId="1C78509F">
            <w:pPr>
              <w:spacing w:line="500" w:lineRule="atLeast"/>
              <w:ind w:firstLine="606"/>
              <w:rPr>
                <w:color w:val="auto"/>
                <w:sz w:val="24"/>
              </w:rPr>
            </w:pPr>
            <w:r>
              <w:rPr>
                <w:rFonts w:hint="eastAsia" w:ascii="宋体" w:hAnsi="宋体" w:cs="宋体"/>
                <w:color w:val="auto"/>
                <w:sz w:val="24"/>
              </w:rPr>
              <w:t>③</w:t>
            </w:r>
            <w:r>
              <w:rPr>
                <w:color w:val="auto"/>
                <w:sz w:val="24"/>
              </w:rPr>
              <w:t>液体状的危险废物需用符合标准的容器盛装，容器上需粘贴符合《危险废物贮存污染控制标准》（GB18597-2001）附录A所示的标签。</w:t>
            </w:r>
          </w:p>
          <w:p w14:paraId="464BA5B4">
            <w:pPr>
              <w:spacing w:line="500" w:lineRule="atLeast"/>
              <w:ind w:firstLine="606"/>
              <w:rPr>
                <w:color w:val="auto"/>
                <w:sz w:val="24"/>
              </w:rPr>
            </w:pPr>
            <w:r>
              <w:rPr>
                <w:rFonts w:hint="eastAsia" w:ascii="宋体" w:hAnsi="宋体" w:cs="宋体"/>
                <w:color w:val="auto"/>
                <w:sz w:val="24"/>
              </w:rPr>
              <w:t>④</w:t>
            </w:r>
            <w:r>
              <w:rPr>
                <w:snapToGrid w:val="0"/>
                <w:color w:val="auto"/>
                <w:kern w:val="0"/>
                <w:sz w:val="24"/>
              </w:rPr>
              <w:t>用以存放危险废物容器的地方，必须有耐腐蚀的硬化地面，且表面无裂隙。</w:t>
            </w:r>
          </w:p>
          <w:p w14:paraId="3A621223">
            <w:pPr>
              <w:spacing w:line="500" w:lineRule="atLeast"/>
              <w:ind w:firstLine="606"/>
              <w:rPr>
                <w:color w:val="auto"/>
                <w:sz w:val="24"/>
              </w:rPr>
            </w:pPr>
            <w:r>
              <w:rPr>
                <w:rFonts w:hint="eastAsia" w:ascii="宋体" w:hAnsi="宋体" w:cs="宋体"/>
                <w:color w:val="auto"/>
                <w:sz w:val="24"/>
              </w:rPr>
              <w:t>⑤</w:t>
            </w:r>
            <w:r>
              <w:rPr>
                <w:snapToGrid w:val="0"/>
                <w:color w:val="auto"/>
                <w:kern w:val="0"/>
                <w:sz w:val="24"/>
              </w:rPr>
              <w:t>不相容的危险废物必须分开存放，并设有隔离间隔断。</w:t>
            </w:r>
          </w:p>
          <w:p w14:paraId="7AB71D61">
            <w:pPr>
              <w:spacing w:line="500" w:lineRule="atLeast"/>
              <w:ind w:firstLine="600" w:firstLineChars="250"/>
              <w:rPr>
                <w:rFonts w:hint="eastAsia" w:eastAsia="宋体"/>
                <w:color w:val="auto"/>
                <w:sz w:val="24"/>
                <w:lang w:val="en-US" w:eastAsia="zh-CN"/>
              </w:rPr>
            </w:pPr>
            <w:r>
              <w:rPr>
                <w:rFonts w:hint="eastAsia" w:ascii="宋体" w:hAnsi="宋体" w:cs="宋体"/>
                <w:color w:val="auto"/>
                <w:sz w:val="24"/>
              </w:rPr>
              <w:t>⑥</w:t>
            </w:r>
            <w:r>
              <w:rPr>
                <w:snapToGrid w:val="0"/>
                <w:color w:val="auto"/>
                <w:kern w:val="0"/>
                <w:sz w:val="24"/>
              </w:rPr>
              <w:t>基础必须防渗，防渗层为</w:t>
            </w:r>
            <w:r>
              <w:rPr>
                <w:rFonts w:hint="eastAsia"/>
                <w:snapToGrid w:val="0"/>
                <w:color w:val="auto"/>
                <w:kern w:val="0"/>
                <w:sz w:val="24"/>
                <w:lang w:eastAsia="zh-CN"/>
              </w:rPr>
              <w:t>至少</w:t>
            </w:r>
            <w:r>
              <w:rPr>
                <w:rFonts w:hint="eastAsia"/>
                <w:snapToGrid w:val="0"/>
                <w:color w:val="auto"/>
                <w:kern w:val="0"/>
                <w:sz w:val="24"/>
                <w:lang w:val="en-US" w:eastAsia="zh-CN"/>
              </w:rPr>
              <w:t>1m厚黏土层（</w:t>
            </w:r>
            <w:r>
              <w:rPr>
                <w:snapToGrid w:val="0"/>
                <w:color w:val="auto"/>
                <w:kern w:val="0"/>
                <w:sz w:val="24"/>
              </w:rPr>
              <w:t>渗透系数≤10</w:t>
            </w:r>
            <w:r>
              <w:rPr>
                <w:snapToGrid w:val="0"/>
                <w:color w:val="auto"/>
                <w:kern w:val="0"/>
                <w:sz w:val="24"/>
                <w:vertAlign w:val="superscript"/>
              </w:rPr>
              <w:t>-7</w:t>
            </w:r>
            <w:r>
              <w:rPr>
                <w:snapToGrid w:val="0"/>
                <w:color w:val="auto"/>
                <w:kern w:val="0"/>
                <w:sz w:val="24"/>
              </w:rPr>
              <w:t>cm/s</w:t>
            </w:r>
            <w:r>
              <w:rPr>
                <w:rFonts w:hint="eastAsia"/>
                <w:snapToGrid w:val="0"/>
                <w:color w:val="auto"/>
                <w:kern w:val="0"/>
                <w:sz w:val="24"/>
                <w:lang w:val="en-US" w:eastAsia="zh-CN"/>
              </w:rPr>
              <w:t>），或2mm厚好密度聚乙烯，或至少2mm厚的其他人工材料，</w:t>
            </w:r>
            <w:r>
              <w:rPr>
                <w:snapToGrid w:val="0"/>
                <w:color w:val="auto"/>
                <w:kern w:val="0"/>
                <w:sz w:val="24"/>
              </w:rPr>
              <w:t>渗透系数≤10</w:t>
            </w:r>
            <w:r>
              <w:rPr>
                <w:snapToGrid w:val="0"/>
                <w:color w:val="auto"/>
                <w:kern w:val="0"/>
                <w:sz w:val="24"/>
                <w:vertAlign w:val="superscript"/>
              </w:rPr>
              <w:t>-</w:t>
            </w:r>
            <w:r>
              <w:rPr>
                <w:rFonts w:hint="eastAsia"/>
                <w:snapToGrid w:val="0"/>
                <w:color w:val="auto"/>
                <w:kern w:val="0"/>
                <w:sz w:val="24"/>
                <w:vertAlign w:val="superscript"/>
                <w:lang w:val="en-US" w:eastAsia="zh-CN"/>
              </w:rPr>
              <w:t>10</w:t>
            </w:r>
            <w:r>
              <w:rPr>
                <w:snapToGrid w:val="0"/>
                <w:color w:val="auto"/>
                <w:kern w:val="0"/>
                <w:sz w:val="24"/>
              </w:rPr>
              <w:t>cm/s</w:t>
            </w:r>
            <w:r>
              <w:rPr>
                <w:rFonts w:hint="eastAsia"/>
                <w:snapToGrid w:val="0"/>
                <w:color w:val="auto"/>
                <w:kern w:val="0"/>
                <w:sz w:val="24"/>
                <w:lang w:eastAsia="zh-CN"/>
              </w:rPr>
              <w:t>。</w:t>
            </w:r>
          </w:p>
          <w:p w14:paraId="0CF48F4B">
            <w:pPr>
              <w:spacing w:line="500" w:lineRule="atLeast"/>
              <w:ind w:firstLine="600" w:firstLineChars="250"/>
              <w:rPr>
                <w:snapToGrid w:val="0"/>
                <w:color w:val="auto"/>
                <w:kern w:val="0"/>
                <w:sz w:val="24"/>
              </w:rPr>
            </w:pPr>
            <w:r>
              <w:rPr>
                <w:rFonts w:hint="eastAsia" w:ascii="宋体" w:hAnsi="宋体" w:cs="宋体"/>
                <w:color w:val="auto"/>
                <w:sz w:val="24"/>
              </w:rPr>
              <w:t>⑦</w:t>
            </w:r>
            <w:r>
              <w:rPr>
                <w:snapToGrid w:val="0"/>
                <w:color w:val="auto"/>
                <w:kern w:val="0"/>
                <w:sz w:val="24"/>
              </w:rPr>
              <w:t>危险废物暂存场所要防风、防雨、防晒。</w:t>
            </w:r>
          </w:p>
          <w:p w14:paraId="5B4423D4">
            <w:pPr>
              <w:spacing w:line="500" w:lineRule="atLeast"/>
              <w:ind w:firstLine="480" w:firstLineChars="200"/>
              <w:rPr>
                <w:color w:val="auto"/>
                <w:sz w:val="24"/>
              </w:rPr>
            </w:pPr>
            <w:r>
              <w:rPr>
                <w:color w:val="auto"/>
                <w:sz w:val="24"/>
              </w:rPr>
              <w:fldChar w:fldCharType="begin"/>
            </w:r>
            <w:r>
              <w:rPr>
                <w:color w:val="auto"/>
                <w:sz w:val="24"/>
              </w:rPr>
              <w:instrText xml:space="preserve"> = 2 \* ROMAN \* MERGEFORMAT </w:instrText>
            </w:r>
            <w:r>
              <w:rPr>
                <w:color w:val="auto"/>
                <w:sz w:val="24"/>
              </w:rPr>
              <w:fldChar w:fldCharType="separate"/>
            </w:r>
            <w:r>
              <w:rPr>
                <w:color w:val="auto"/>
                <w:sz w:val="24"/>
              </w:rPr>
              <w:t>II</w:t>
            </w:r>
            <w:r>
              <w:rPr>
                <w:color w:val="auto"/>
                <w:sz w:val="24"/>
              </w:rPr>
              <w:fldChar w:fldCharType="end"/>
            </w:r>
            <w:r>
              <w:rPr>
                <w:color w:val="auto"/>
                <w:sz w:val="24"/>
              </w:rPr>
              <w:t>运输过程的污染防治措施</w:t>
            </w:r>
          </w:p>
          <w:p w14:paraId="09B55C31">
            <w:pPr>
              <w:spacing w:line="500" w:lineRule="atLeast"/>
              <w:ind w:firstLine="480" w:firstLineChars="200"/>
              <w:rPr>
                <w:color w:val="auto"/>
                <w:sz w:val="24"/>
              </w:rPr>
            </w:pPr>
            <w:r>
              <w:rPr>
                <w:color w:val="auto"/>
                <w:sz w:val="24"/>
              </w:rPr>
              <w:t>本项目危险废物委托资质单位进行运输，在运输过程中要采用专用的车辆，密闭运输，严格禁止跑冒滴漏，杜绝在运输过程中造成环境的二次污染，在危险废物的运输中执行《危险废物转移联单管理办法》中有关的规定和要求。</w:t>
            </w:r>
          </w:p>
          <w:p w14:paraId="79BAFE3B">
            <w:pPr>
              <w:spacing w:line="500" w:lineRule="atLeast"/>
              <w:ind w:firstLine="480" w:firstLineChars="200"/>
              <w:rPr>
                <w:color w:val="auto"/>
                <w:sz w:val="24"/>
              </w:rPr>
            </w:pPr>
            <w:r>
              <w:rPr>
                <w:color w:val="auto"/>
                <w:sz w:val="24"/>
              </w:rPr>
              <w:t>3、环境风险评价</w:t>
            </w:r>
          </w:p>
          <w:p w14:paraId="73C8B44B">
            <w:pPr>
              <w:spacing w:line="500" w:lineRule="atLeast"/>
              <w:ind w:firstLine="480" w:firstLineChars="200"/>
              <w:rPr>
                <w:color w:val="auto"/>
                <w:sz w:val="24"/>
              </w:rPr>
            </w:pPr>
            <w:r>
              <w:rPr>
                <w:color w:val="auto"/>
                <w:sz w:val="24"/>
              </w:rPr>
              <w:t>本项目的危险废物包括废机油（HW08）、废机油桶（HW08）储存量较少，根据《危险化学品重大危险源辨识》（GB18218-2018)进行辨识，本项目未构成重大危险源，对环境风险较小。</w:t>
            </w:r>
          </w:p>
          <w:p w14:paraId="67B86B94">
            <w:pPr>
              <w:spacing w:line="500" w:lineRule="atLeast"/>
              <w:ind w:firstLine="480" w:firstLineChars="200"/>
              <w:rPr>
                <w:color w:val="auto"/>
                <w:sz w:val="24"/>
              </w:rPr>
            </w:pPr>
            <w:r>
              <w:rPr>
                <w:color w:val="auto"/>
                <w:sz w:val="24"/>
              </w:rPr>
              <w:t>4、环境管理要求</w:t>
            </w:r>
          </w:p>
          <w:p w14:paraId="1C9E6080">
            <w:pPr>
              <w:spacing w:line="500" w:lineRule="atLeast"/>
              <w:ind w:firstLine="480" w:firstLineChars="200"/>
              <w:rPr>
                <w:color w:val="auto"/>
                <w:sz w:val="24"/>
              </w:rPr>
            </w:pPr>
            <w:r>
              <w:rPr>
                <w:color w:val="auto"/>
                <w:sz w:val="24"/>
              </w:rPr>
              <w:t>针对本项且正常运行险段所产生的危险废物的日常管理提出要求：</w:t>
            </w:r>
          </w:p>
          <w:p w14:paraId="220BB660">
            <w:pPr>
              <w:spacing w:line="500" w:lineRule="atLeast"/>
              <w:ind w:firstLine="480" w:firstLineChars="200"/>
              <w:rPr>
                <w:color w:val="auto"/>
                <w:sz w:val="24"/>
              </w:rPr>
            </w:pPr>
            <w:r>
              <w:rPr>
                <w:color w:val="auto"/>
                <w:sz w:val="24"/>
              </w:rPr>
              <w:t>履行申报登记制度；建立台账管理制度，企业须做好危险废物情况的记录，记录上需注明危险废物的名称、来源、数量、特性和包装容器的类别；委托处置应执行报批和转移联单等制度；定期对暂存的危险废物包装容器及贮存设施进行检查，及早发现破损，及时采取措施清理更换；直接从事收集、贮存、输、利用、处置危险废物的人员，应当接受专业培训，经考核合格，方可从事该项工作。</w:t>
            </w:r>
          </w:p>
          <w:p w14:paraId="7766553F">
            <w:pPr>
              <w:spacing w:line="500" w:lineRule="atLeast"/>
              <w:ind w:firstLine="480" w:firstLineChars="200"/>
              <w:rPr>
                <w:color w:val="auto"/>
                <w:sz w:val="24"/>
              </w:rPr>
            </w:pPr>
            <w:r>
              <w:rPr>
                <w:color w:val="auto"/>
                <w:sz w:val="24"/>
              </w:rPr>
              <w:t>固废贮存（处置）场所规范化设置，固体废物贮存（处置）场所应在醒目处设置标志牌。</w:t>
            </w:r>
          </w:p>
          <w:p w14:paraId="668393A0">
            <w:pPr>
              <w:spacing w:line="500" w:lineRule="atLeast"/>
              <w:ind w:firstLine="480" w:firstLineChars="200"/>
              <w:rPr>
                <w:color w:val="auto"/>
                <w:sz w:val="24"/>
              </w:rPr>
            </w:pPr>
            <w:r>
              <w:rPr>
                <w:color w:val="auto"/>
                <w:sz w:val="24"/>
              </w:rPr>
              <w:t>采取上述治理措施后，各类固废均能得到合理处置，实现“零”排放。</w:t>
            </w:r>
          </w:p>
          <w:p w14:paraId="72713C0C">
            <w:pPr>
              <w:spacing w:line="500" w:lineRule="exact"/>
              <w:ind w:firstLine="482" w:firstLineChars="200"/>
              <w:rPr>
                <w:rFonts w:ascii="宋体" w:hAnsi="宋体" w:cs="宋体"/>
                <w:b/>
                <w:bCs/>
                <w:color w:val="auto"/>
                <w:sz w:val="24"/>
              </w:rPr>
            </w:pPr>
            <w:r>
              <w:rPr>
                <w:rFonts w:hint="eastAsia" w:ascii="宋体" w:hAnsi="宋体" w:cs="宋体"/>
                <w:b/>
                <w:bCs/>
                <w:color w:val="auto"/>
                <w:sz w:val="24"/>
              </w:rPr>
              <w:t>五</w:t>
            </w:r>
            <w:r>
              <w:rPr>
                <w:rFonts w:hint="eastAsia"/>
                <w:b/>
                <w:bCs/>
                <w:color w:val="auto"/>
                <w:sz w:val="24"/>
              </w:rPr>
              <w:t>、</w:t>
            </w:r>
            <w:r>
              <w:rPr>
                <w:rFonts w:hint="eastAsia" w:ascii="宋体" w:hAnsi="宋体" w:cs="宋体"/>
                <w:b/>
                <w:bCs/>
                <w:color w:val="auto"/>
                <w:sz w:val="24"/>
              </w:rPr>
              <w:t>地下水、土壤环境</w:t>
            </w:r>
          </w:p>
          <w:p w14:paraId="6508B38B">
            <w:pPr>
              <w:spacing w:line="500" w:lineRule="exact"/>
              <w:ind w:firstLine="480"/>
              <w:rPr>
                <w:b/>
                <w:bCs/>
                <w:color w:val="auto"/>
                <w:sz w:val="24"/>
              </w:rPr>
            </w:pPr>
            <w:r>
              <w:rPr>
                <w:rFonts w:hint="eastAsia"/>
                <w:b/>
                <w:bCs/>
                <w:color w:val="auto"/>
                <w:sz w:val="24"/>
              </w:rPr>
              <w:t>1、</w:t>
            </w:r>
            <w:r>
              <w:rPr>
                <w:b/>
                <w:bCs/>
                <w:color w:val="auto"/>
                <w:sz w:val="24"/>
              </w:rPr>
              <w:t>地下水环境影响分析</w:t>
            </w:r>
          </w:p>
          <w:p w14:paraId="455421F8">
            <w:pPr>
              <w:spacing w:line="500" w:lineRule="atLeast"/>
              <w:ind w:firstLine="480" w:firstLineChars="200"/>
              <w:rPr>
                <w:rFonts w:hint="eastAsia"/>
                <w:color w:val="auto"/>
                <w:sz w:val="24"/>
              </w:rPr>
            </w:pPr>
            <w:r>
              <w:rPr>
                <w:rFonts w:hint="eastAsia"/>
                <w:snapToGrid w:val="0"/>
                <w:color w:val="auto"/>
                <w:kern w:val="0"/>
                <w:sz w:val="24"/>
              </w:rPr>
              <w:t>根据《环境影响评价技术导则地下水环境》（</w:t>
            </w:r>
            <w:r>
              <w:rPr>
                <w:snapToGrid w:val="0"/>
                <w:color w:val="auto"/>
                <w:kern w:val="0"/>
                <w:sz w:val="24"/>
              </w:rPr>
              <w:t>HJ610-2016</w:t>
            </w:r>
            <w:r>
              <w:rPr>
                <w:rFonts w:hint="eastAsia"/>
                <w:snapToGrid w:val="0"/>
                <w:color w:val="auto"/>
                <w:kern w:val="0"/>
                <w:sz w:val="24"/>
              </w:rPr>
              <w:t>），</w:t>
            </w:r>
            <w:r>
              <w:rPr>
                <w:rFonts w:hint="eastAsia"/>
                <w:color w:val="auto"/>
                <w:sz w:val="24"/>
              </w:rPr>
              <w:t>对照</w:t>
            </w:r>
            <w:r>
              <w:rPr>
                <w:color w:val="auto"/>
                <w:sz w:val="24"/>
              </w:rPr>
              <w:t>“</w:t>
            </w:r>
            <w:r>
              <w:rPr>
                <w:rFonts w:hint="eastAsia"/>
                <w:color w:val="auto"/>
                <w:sz w:val="24"/>
              </w:rPr>
              <w:t>附录</w:t>
            </w:r>
            <w:r>
              <w:rPr>
                <w:color w:val="auto"/>
                <w:sz w:val="24"/>
              </w:rPr>
              <w:t>A</w:t>
            </w:r>
            <w:r>
              <w:rPr>
                <w:rFonts w:hint="eastAsia"/>
                <w:color w:val="auto"/>
                <w:sz w:val="24"/>
              </w:rPr>
              <w:t>地下水环境影响评价行业分类表，同时参照相近行业分类</w:t>
            </w:r>
            <w:r>
              <w:rPr>
                <w:color w:val="auto"/>
                <w:sz w:val="24"/>
              </w:rPr>
              <w:t>”</w:t>
            </w:r>
            <w:r>
              <w:rPr>
                <w:rFonts w:hint="eastAsia"/>
                <w:color w:val="auto"/>
                <w:sz w:val="24"/>
              </w:rPr>
              <w:t>，本项目属于</w:t>
            </w:r>
            <w:r>
              <w:rPr>
                <w:color w:val="auto"/>
                <w:sz w:val="24"/>
              </w:rPr>
              <w:t>“</w:t>
            </w:r>
            <w:r>
              <w:rPr>
                <w:rFonts w:hint="eastAsia"/>
                <w:color w:val="auto"/>
                <w:sz w:val="24"/>
              </w:rPr>
              <w:t>J 非金属矿采选及制品制造、69、石墨及其他非金属矿物制品</w:t>
            </w:r>
            <w:r>
              <w:rPr>
                <w:rFonts w:hint="eastAsia"/>
                <w:color w:val="auto"/>
                <w:sz w:val="24"/>
                <w:lang w:val="en-US" w:eastAsia="zh-CN"/>
              </w:rPr>
              <w:t>-</w:t>
            </w:r>
            <w:r>
              <w:rPr>
                <w:rFonts w:hint="eastAsia"/>
                <w:color w:val="auto"/>
                <w:sz w:val="24"/>
              </w:rPr>
              <w:t>其他，地下水环境影响评价项目类</w:t>
            </w:r>
            <w:r>
              <w:rPr>
                <w:color w:val="auto"/>
                <w:sz w:val="24"/>
              </w:rPr>
              <w:t>别为</w:t>
            </w:r>
            <w:r>
              <w:rPr>
                <w:rFonts w:hint="eastAsia"/>
                <w:color w:val="auto"/>
                <w:sz w:val="24"/>
              </w:rPr>
              <w:t>Ⅳ</w:t>
            </w:r>
            <w:r>
              <w:rPr>
                <w:color w:val="auto"/>
                <w:sz w:val="24"/>
              </w:rPr>
              <w:t>类项目</w:t>
            </w:r>
            <w:r>
              <w:rPr>
                <w:rFonts w:hint="eastAsia"/>
                <w:color w:val="auto"/>
                <w:sz w:val="24"/>
                <w:lang w:eastAsia="zh-CN"/>
              </w:rPr>
              <w:t>，可不进行地下水评价</w:t>
            </w:r>
            <w:r>
              <w:rPr>
                <w:rFonts w:hint="eastAsia"/>
                <w:color w:val="auto"/>
                <w:sz w:val="24"/>
              </w:rPr>
              <w:t>。</w:t>
            </w:r>
          </w:p>
          <w:p w14:paraId="5B18EDBB">
            <w:pPr>
              <w:spacing w:line="500" w:lineRule="atLeast"/>
              <w:ind w:firstLine="480" w:firstLineChars="200"/>
              <w:rPr>
                <w:b/>
                <w:snapToGrid w:val="0"/>
                <w:color w:val="auto"/>
                <w:kern w:val="0"/>
                <w:sz w:val="24"/>
              </w:rPr>
            </w:pPr>
            <w:r>
              <w:rPr>
                <w:rFonts w:hint="eastAsia"/>
                <w:color w:val="auto"/>
                <w:sz w:val="24"/>
              </w:rPr>
              <w:t>同时为了最大限度降低泄露等对地下水环境的影响，本环评建议危废间采用重点防渗，其他区域</w:t>
            </w:r>
            <w:r>
              <w:rPr>
                <w:rFonts w:hint="eastAsia"/>
                <w:color w:val="auto"/>
                <w:sz w:val="24"/>
                <w:lang w:val="en-US" w:eastAsia="zh-CN"/>
              </w:rPr>
              <w:t>采用一般防渗。</w:t>
            </w:r>
            <w:r>
              <w:rPr>
                <w:rFonts w:hint="eastAsia"/>
                <w:snapToGrid w:val="0"/>
                <w:color w:val="auto"/>
                <w:kern w:val="0"/>
                <w:sz w:val="24"/>
              </w:rPr>
              <w:t>为确保项目生产运行不会对周围地下水产生污染，评价建议建设单位应采取分区防治措施，将厂区内按各功能单元所处位置划分为一般防渗区、简单防渗区和重点防渗区。</w:t>
            </w:r>
          </w:p>
          <w:p w14:paraId="73AD32B6">
            <w:pPr>
              <w:widowControl/>
              <w:spacing w:line="500" w:lineRule="atLeast"/>
              <w:ind w:firstLine="480" w:firstLineChars="200"/>
              <w:rPr>
                <w:bCs/>
                <w:snapToGrid w:val="0"/>
                <w:color w:val="auto"/>
                <w:kern w:val="24"/>
                <w:sz w:val="24"/>
              </w:rPr>
            </w:pPr>
            <w:r>
              <w:rPr>
                <w:rFonts w:hint="eastAsia"/>
                <w:bCs/>
                <w:snapToGrid w:val="0"/>
                <w:color w:val="auto"/>
                <w:kern w:val="24"/>
                <w:sz w:val="24"/>
              </w:rPr>
              <w:t>（1）重点防渗区</w:t>
            </w:r>
          </w:p>
          <w:p w14:paraId="34A89638">
            <w:pPr>
              <w:widowControl/>
              <w:spacing w:line="500" w:lineRule="atLeast"/>
              <w:ind w:firstLine="480" w:firstLineChars="200"/>
              <w:rPr>
                <w:bCs/>
                <w:snapToGrid w:val="0"/>
                <w:color w:val="auto"/>
                <w:kern w:val="24"/>
                <w:sz w:val="24"/>
                <w:highlight w:val="none"/>
              </w:rPr>
            </w:pPr>
            <w:r>
              <w:rPr>
                <w:rFonts w:hint="eastAsia"/>
                <w:snapToGrid w:val="0"/>
                <w:color w:val="auto"/>
                <w:kern w:val="0"/>
                <w:sz w:val="24"/>
                <w:highlight w:val="none"/>
              </w:rPr>
              <w:t>危废库</w:t>
            </w:r>
            <w:r>
              <w:rPr>
                <w:rFonts w:hint="eastAsia"/>
                <w:bCs/>
                <w:snapToGrid w:val="0"/>
                <w:color w:val="auto"/>
                <w:kern w:val="24"/>
                <w:sz w:val="24"/>
                <w:highlight w:val="none"/>
              </w:rPr>
              <w:t>采用抗渗钢筋混凝土，防渗措施应满足《环境影响评价技术导则地下水环境》（</w:t>
            </w:r>
            <w:r>
              <w:rPr>
                <w:bCs/>
                <w:snapToGrid w:val="0"/>
                <w:color w:val="auto"/>
                <w:kern w:val="24"/>
                <w:sz w:val="24"/>
                <w:highlight w:val="none"/>
              </w:rPr>
              <w:t>HJ610-2016</w:t>
            </w:r>
            <w:r>
              <w:rPr>
                <w:rFonts w:hint="eastAsia"/>
                <w:bCs/>
                <w:snapToGrid w:val="0"/>
                <w:color w:val="auto"/>
                <w:kern w:val="24"/>
                <w:sz w:val="24"/>
                <w:highlight w:val="none"/>
              </w:rPr>
              <w:t>）中重点防渗措施中“等效黏土防渗层</w:t>
            </w:r>
            <w:r>
              <w:rPr>
                <w:bCs/>
                <w:snapToGrid w:val="0"/>
                <w:color w:val="auto"/>
                <w:kern w:val="24"/>
                <w:sz w:val="24"/>
                <w:highlight w:val="none"/>
              </w:rPr>
              <w:t>Mb</w:t>
            </w:r>
            <w:r>
              <w:rPr>
                <w:rFonts w:hint="eastAsia"/>
                <w:bCs/>
                <w:snapToGrid w:val="0"/>
                <w:color w:val="auto"/>
                <w:kern w:val="24"/>
                <w:sz w:val="24"/>
                <w:highlight w:val="none"/>
              </w:rPr>
              <w:t>≥</w:t>
            </w:r>
            <w:r>
              <w:rPr>
                <w:bCs/>
                <w:snapToGrid w:val="0"/>
                <w:color w:val="auto"/>
                <w:kern w:val="24"/>
                <w:sz w:val="24"/>
                <w:highlight w:val="none"/>
              </w:rPr>
              <w:t>6.0m</w:t>
            </w:r>
            <w:r>
              <w:rPr>
                <w:rFonts w:hint="eastAsia"/>
                <w:bCs/>
                <w:snapToGrid w:val="0"/>
                <w:color w:val="auto"/>
                <w:kern w:val="24"/>
                <w:sz w:val="24"/>
                <w:highlight w:val="none"/>
              </w:rPr>
              <w:t>，</w:t>
            </w:r>
            <w:r>
              <w:rPr>
                <w:bCs/>
                <w:snapToGrid w:val="0"/>
                <w:color w:val="auto"/>
                <w:kern w:val="24"/>
                <w:sz w:val="24"/>
                <w:highlight w:val="none"/>
              </w:rPr>
              <w:t>K</w:t>
            </w:r>
            <w:r>
              <w:rPr>
                <w:rFonts w:hint="eastAsia"/>
                <w:bCs/>
                <w:snapToGrid w:val="0"/>
                <w:color w:val="auto"/>
                <w:kern w:val="24"/>
                <w:sz w:val="24"/>
                <w:highlight w:val="none"/>
              </w:rPr>
              <w:t>≤</w:t>
            </w:r>
            <w:r>
              <w:rPr>
                <w:bCs/>
                <w:snapToGrid w:val="0"/>
                <w:color w:val="auto"/>
                <w:kern w:val="24"/>
                <w:sz w:val="24"/>
                <w:highlight w:val="none"/>
              </w:rPr>
              <w:t>10</w:t>
            </w:r>
            <w:r>
              <w:rPr>
                <w:bCs/>
                <w:snapToGrid w:val="0"/>
                <w:color w:val="auto"/>
                <w:kern w:val="24"/>
                <w:sz w:val="24"/>
                <w:highlight w:val="none"/>
                <w:vertAlign w:val="superscript"/>
              </w:rPr>
              <w:t>-7</w:t>
            </w:r>
            <w:r>
              <w:rPr>
                <w:bCs/>
                <w:snapToGrid w:val="0"/>
                <w:color w:val="auto"/>
                <w:kern w:val="24"/>
                <w:sz w:val="24"/>
                <w:highlight w:val="none"/>
              </w:rPr>
              <w:t>cm/s</w:t>
            </w:r>
            <w:r>
              <w:rPr>
                <w:rFonts w:hint="eastAsia"/>
                <w:bCs/>
                <w:snapToGrid w:val="0"/>
                <w:color w:val="auto"/>
                <w:kern w:val="24"/>
                <w:sz w:val="24"/>
                <w:highlight w:val="none"/>
              </w:rPr>
              <w:t>；或参照</w:t>
            </w:r>
            <w:r>
              <w:rPr>
                <w:bCs/>
                <w:snapToGrid w:val="0"/>
                <w:color w:val="auto"/>
                <w:kern w:val="24"/>
                <w:sz w:val="24"/>
                <w:highlight w:val="none"/>
              </w:rPr>
              <w:t>GB18597</w:t>
            </w:r>
            <w:r>
              <w:rPr>
                <w:rFonts w:hint="eastAsia"/>
                <w:bCs/>
                <w:snapToGrid w:val="0"/>
                <w:color w:val="auto"/>
                <w:kern w:val="24"/>
                <w:sz w:val="24"/>
                <w:highlight w:val="none"/>
              </w:rPr>
              <w:t>执行”中相关要求。其中危废库应同时满足《危险废物贮存污染控制标准》（</w:t>
            </w:r>
            <w:r>
              <w:rPr>
                <w:bCs/>
                <w:snapToGrid w:val="0"/>
                <w:color w:val="auto"/>
                <w:kern w:val="24"/>
                <w:sz w:val="24"/>
                <w:highlight w:val="none"/>
              </w:rPr>
              <w:t>GB18597-2001</w:t>
            </w:r>
            <w:r>
              <w:rPr>
                <w:rFonts w:hint="eastAsia"/>
                <w:bCs/>
                <w:snapToGrid w:val="0"/>
                <w:color w:val="auto"/>
                <w:kern w:val="24"/>
                <w:sz w:val="24"/>
                <w:highlight w:val="none"/>
              </w:rPr>
              <w:t>及</w:t>
            </w:r>
            <w:r>
              <w:rPr>
                <w:bCs/>
                <w:snapToGrid w:val="0"/>
                <w:color w:val="auto"/>
                <w:kern w:val="24"/>
                <w:sz w:val="24"/>
                <w:highlight w:val="none"/>
              </w:rPr>
              <w:t>2013</w:t>
            </w:r>
            <w:r>
              <w:rPr>
                <w:rFonts w:hint="eastAsia"/>
                <w:bCs/>
                <w:snapToGrid w:val="0"/>
                <w:color w:val="auto"/>
                <w:kern w:val="24"/>
                <w:sz w:val="24"/>
                <w:highlight w:val="none"/>
              </w:rPr>
              <w:t>修改单）中“防渗层为至少</w:t>
            </w:r>
            <w:r>
              <w:rPr>
                <w:bCs/>
                <w:snapToGrid w:val="0"/>
                <w:color w:val="auto"/>
                <w:kern w:val="24"/>
                <w:sz w:val="24"/>
                <w:highlight w:val="none"/>
              </w:rPr>
              <w:t>1m</w:t>
            </w:r>
            <w:r>
              <w:rPr>
                <w:rFonts w:hint="eastAsia"/>
                <w:bCs/>
                <w:snapToGrid w:val="0"/>
                <w:color w:val="auto"/>
                <w:kern w:val="24"/>
                <w:sz w:val="24"/>
                <w:highlight w:val="none"/>
              </w:rPr>
              <w:t>厚粘土层（渗透系数≤</w:t>
            </w:r>
            <w:r>
              <w:rPr>
                <w:bCs/>
                <w:snapToGrid w:val="0"/>
                <w:color w:val="auto"/>
                <w:kern w:val="24"/>
                <w:sz w:val="24"/>
                <w:highlight w:val="none"/>
              </w:rPr>
              <w:t>10</w:t>
            </w:r>
            <w:r>
              <w:rPr>
                <w:bCs/>
                <w:snapToGrid w:val="0"/>
                <w:color w:val="auto"/>
                <w:kern w:val="24"/>
                <w:sz w:val="24"/>
                <w:highlight w:val="none"/>
                <w:vertAlign w:val="superscript"/>
              </w:rPr>
              <w:t>-7</w:t>
            </w:r>
            <w:r>
              <w:rPr>
                <w:bCs/>
                <w:snapToGrid w:val="0"/>
                <w:color w:val="auto"/>
                <w:kern w:val="24"/>
                <w:sz w:val="24"/>
                <w:highlight w:val="none"/>
              </w:rPr>
              <w:t>cm/s</w:t>
            </w:r>
            <w:r>
              <w:rPr>
                <w:rFonts w:hint="eastAsia"/>
                <w:bCs/>
                <w:snapToGrid w:val="0"/>
                <w:color w:val="auto"/>
                <w:kern w:val="24"/>
                <w:sz w:val="24"/>
                <w:highlight w:val="none"/>
              </w:rPr>
              <w:t>），或</w:t>
            </w:r>
            <w:r>
              <w:rPr>
                <w:bCs/>
                <w:snapToGrid w:val="0"/>
                <w:color w:val="auto"/>
                <w:kern w:val="24"/>
                <w:sz w:val="24"/>
                <w:highlight w:val="none"/>
              </w:rPr>
              <w:t>2mm</w:t>
            </w:r>
            <w:r>
              <w:rPr>
                <w:rFonts w:hint="eastAsia"/>
                <w:bCs/>
                <w:snapToGrid w:val="0"/>
                <w:color w:val="auto"/>
                <w:kern w:val="24"/>
                <w:sz w:val="24"/>
                <w:highlight w:val="none"/>
              </w:rPr>
              <w:t>厚高密度聚乙烯，或至少</w:t>
            </w:r>
            <w:r>
              <w:rPr>
                <w:bCs/>
                <w:snapToGrid w:val="0"/>
                <w:color w:val="auto"/>
                <w:kern w:val="24"/>
                <w:sz w:val="24"/>
                <w:highlight w:val="none"/>
              </w:rPr>
              <w:t>2mm</w:t>
            </w:r>
            <w:r>
              <w:rPr>
                <w:rFonts w:hint="eastAsia"/>
                <w:bCs/>
                <w:snapToGrid w:val="0"/>
                <w:color w:val="auto"/>
                <w:kern w:val="24"/>
                <w:sz w:val="24"/>
                <w:highlight w:val="none"/>
              </w:rPr>
              <w:t>厚的其它人工材料（渗透系数≤</w:t>
            </w:r>
            <w:r>
              <w:rPr>
                <w:bCs/>
                <w:snapToGrid w:val="0"/>
                <w:color w:val="auto"/>
                <w:kern w:val="24"/>
                <w:sz w:val="24"/>
                <w:highlight w:val="none"/>
              </w:rPr>
              <w:t>10</w:t>
            </w:r>
            <w:r>
              <w:rPr>
                <w:bCs/>
                <w:snapToGrid w:val="0"/>
                <w:color w:val="auto"/>
                <w:kern w:val="24"/>
                <w:sz w:val="24"/>
                <w:highlight w:val="none"/>
                <w:vertAlign w:val="superscript"/>
              </w:rPr>
              <w:t>-10</w:t>
            </w:r>
            <w:r>
              <w:rPr>
                <w:bCs/>
                <w:snapToGrid w:val="0"/>
                <w:color w:val="auto"/>
                <w:kern w:val="24"/>
                <w:sz w:val="24"/>
                <w:highlight w:val="none"/>
              </w:rPr>
              <w:t>cm/s</w:t>
            </w:r>
            <w:r>
              <w:rPr>
                <w:rFonts w:hint="eastAsia"/>
                <w:bCs/>
                <w:snapToGrid w:val="0"/>
                <w:color w:val="auto"/>
                <w:kern w:val="24"/>
                <w:sz w:val="24"/>
                <w:highlight w:val="none"/>
              </w:rPr>
              <w:t>）及其相关要求。涂环氧树脂防腐。</w:t>
            </w:r>
          </w:p>
          <w:p w14:paraId="678A21A8">
            <w:pPr>
              <w:widowControl/>
              <w:spacing w:line="500" w:lineRule="atLeast"/>
              <w:ind w:firstLine="480" w:firstLineChars="200"/>
              <w:rPr>
                <w:bCs/>
                <w:snapToGrid w:val="0"/>
                <w:color w:val="auto"/>
                <w:kern w:val="24"/>
                <w:sz w:val="24"/>
              </w:rPr>
            </w:pPr>
            <w:r>
              <w:rPr>
                <w:rFonts w:hint="eastAsia"/>
                <w:bCs/>
                <w:snapToGrid w:val="0"/>
                <w:color w:val="auto"/>
                <w:kern w:val="24"/>
                <w:sz w:val="24"/>
              </w:rPr>
              <w:t>（</w:t>
            </w:r>
            <w:r>
              <w:rPr>
                <w:bCs/>
                <w:snapToGrid w:val="0"/>
                <w:color w:val="auto"/>
                <w:kern w:val="24"/>
                <w:sz w:val="24"/>
              </w:rPr>
              <w:t>2</w:t>
            </w:r>
            <w:r>
              <w:rPr>
                <w:rFonts w:hint="eastAsia"/>
                <w:bCs/>
                <w:snapToGrid w:val="0"/>
                <w:color w:val="auto"/>
                <w:kern w:val="24"/>
                <w:sz w:val="24"/>
              </w:rPr>
              <w:t>）一般防渗区</w:t>
            </w:r>
          </w:p>
          <w:p w14:paraId="474C3C95">
            <w:pPr>
              <w:widowControl/>
              <w:spacing w:line="500" w:lineRule="atLeast"/>
              <w:ind w:firstLine="480" w:firstLineChars="200"/>
              <w:rPr>
                <w:bCs/>
                <w:snapToGrid w:val="0"/>
                <w:color w:val="auto"/>
                <w:kern w:val="24"/>
                <w:sz w:val="24"/>
                <w:highlight w:val="none"/>
              </w:rPr>
            </w:pPr>
            <w:r>
              <w:rPr>
                <w:rFonts w:hint="eastAsia"/>
                <w:bCs/>
                <w:snapToGrid w:val="0"/>
                <w:color w:val="auto"/>
                <w:kern w:val="24"/>
                <w:sz w:val="24"/>
                <w:highlight w:val="none"/>
              </w:rPr>
              <w:t>评价要求在</w:t>
            </w:r>
            <w:r>
              <w:rPr>
                <w:rFonts w:hint="eastAsia"/>
                <w:snapToGrid w:val="0"/>
                <w:color w:val="auto"/>
                <w:kern w:val="0"/>
                <w:sz w:val="24"/>
                <w:highlight w:val="none"/>
                <w:lang w:bidi="ar"/>
              </w:rPr>
              <w:t>固废暂存间、生产区、原料库</w:t>
            </w:r>
            <w:r>
              <w:rPr>
                <w:rFonts w:hint="eastAsia"/>
                <w:bCs/>
                <w:snapToGrid w:val="0"/>
                <w:color w:val="auto"/>
                <w:kern w:val="24"/>
                <w:sz w:val="24"/>
                <w:highlight w:val="none"/>
              </w:rPr>
              <w:t>采用抗渗混凝土浇制地面底板，企业在经处理的防腐基体上铺设防渗措施，防渗措施应满足《环境影响评价技术导则地下水环境》（</w:t>
            </w:r>
            <w:r>
              <w:rPr>
                <w:bCs/>
                <w:snapToGrid w:val="0"/>
                <w:color w:val="auto"/>
                <w:kern w:val="24"/>
                <w:sz w:val="24"/>
                <w:highlight w:val="none"/>
              </w:rPr>
              <w:t>HJ610-2016</w:t>
            </w:r>
            <w:r>
              <w:rPr>
                <w:rFonts w:hint="eastAsia"/>
                <w:bCs/>
                <w:snapToGrid w:val="0"/>
                <w:color w:val="auto"/>
                <w:kern w:val="24"/>
                <w:sz w:val="24"/>
                <w:highlight w:val="none"/>
              </w:rPr>
              <w:t>）中一般防渗措施中“等效黏土防渗层</w:t>
            </w:r>
            <w:r>
              <w:rPr>
                <w:bCs/>
                <w:snapToGrid w:val="0"/>
                <w:color w:val="auto"/>
                <w:kern w:val="24"/>
                <w:sz w:val="24"/>
                <w:highlight w:val="none"/>
              </w:rPr>
              <w:t>Mb</w:t>
            </w:r>
            <w:r>
              <w:rPr>
                <w:rFonts w:hint="eastAsia"/>
                <w:bCs/>
                <w:snapToGrid w:val="0"/>
                <w:color w:val="auto"/>
                <w:kern w:val="24"/>
                <w:sz w:val="24"/>
                <w:highlight w:val="none"/>
              </w:rPr>
              <w:t>≥</w:t>
            </w:r>
            <w:r>
              <w:rPr>
                <w:bCs/>
                <w:snapToGrid w:val="0"/>
                <w:color w:val="auto"/>
                <w:kern w:val="24"/>
                <w:sz w:val="24"/>
                <w:highlight w:val="none"/>
              </w:rPr>
              <w:t>1.5m</w:t>
            </w:r>
            <w:r>
              <w:rPr>
                <w:rFonts w:hint="eastAsia"/>
                <w:bCs/>
                <w:snapToGrid w:val="0"/>
                <w:color w:val="auto"/>
                <w:kern w:val="24"/>
                <w:sz w:val="24"/>
                <w:highlight w:val="none"/>
              </w:rPr>
              <w:t>，</w:t>
            </w:r>
            <w:r>
              <w:rPr>
                <w:bCs/>
                <w:snapToGrid w:val="0"/>
                <w:color w:val="auto"/>
                <w:kern w:val="24"/>
                <w:sz w:val="24"/>
                <w:highlight w:val="none"/>
              </w:rPr>
              <w:t>K</w:t>
            </w:r>
            <w:r>
              <w:rPr>
                <w:rFonts w:hint="eastAsia"/>
                <w:bCs/>
                <w:snapToGrid w:val="0"/>
                <w:color w:val="auto"/>
                <w:kern w:val="24"/>
                <w:sz w:val="24"/>
                <w:highlight w:val="none"/>
              </w:rPr>
              <w:t>≤</w:t>
            </w:r>
            <w:r>
              <w:rPr>
                <w:bCs/>
                <w:snapToGrid w:val="0"/>
                <w:color w:val="auto"/>
                <w:kern w:val="24"/>
                <w:sz w:val="24"/>
                <w:highlight w:val="none"/>
              </w:rPr>
              <w:t>10</w:t>
            </w:r>
            <w:r>
              <w:rPr>
                <w:bCs/>
                <w:snapToGrid w:val="0"/>
                <w:color w:val="auto"/>
                <w:kern w:val="24"/>
                <w:sz w:val="24"/>
                <w:highlight w:val="none"/>
                <w:vertAlign w:val="superscript"/>
              </w:rPr>
              <w:t>-7</w:t>
            </w:r>
            <w:r>
              <w:rPr>
                <w:bCs/>
                <w:snapToGrid w:val="0"/>
                <w:color w:val="auto"/>
                <w:kern w:val="24"/>
                <w:sz w:val="24"/>
                <w:highlight w:val="none"/>
              </w:rPr>
              <w:t>cm/s</w:t>
            </w:r>
            <w:r>
              <w:rPr>
                <w:rFonts w:hint="eastAsia"/>
                <w:bCs/>
                <w:snapToGrid w:val="0"/>
                <w:color w:val="auto"/>
                <w:kern w:val="24"/>
                <w:sz w:val="24"/>
                <w:highlight w:val="none"/>
              </w:rPr>
              <w:t>；或参照</w:t>
            </w:r>
            <w:r>
              <w:rPr>
                <w:bCs/>
                <w:snapToGrid w:val="0"/>
                <w:color w:val="auto"/>
                <w:kern w:val="24"/>
                <w:sz w:val="24"/>
                <w:highlight w:val="none"/>
              </w:rPr>
              <w:t>GB16889</w:t>
            </w:r>
            <w:r>
              <w:rPr>
                <w:rFonts w:hint="eastAsia"/>
                <w:bCs/>
                <w:snapToGrid w:val="0"/>
                <w:color w:val="auto"/>
                <w:kern w:val="24"/>
                <w:sz w:val="24"/>
                <w:highlight w:val="none"/>
              </w:rPr>
              <w:t>执行”的要求。</w:t>
            </w:r>
          </w:p>
          <w:p w14:paraId="706625EC">
            <w:pPr>
              <w:widowControl/>
              <w:spacing w:line="500" w:lineRule="atLeast"/>
              <w:ind w:firstLine="480" w:firstLineChars="200"/>
              <w:rPr>
                <w:bCs/>
                <w:snapToGrid w:val="0"/>
                <w:color w:val="auto"/>
                <w:kern w:val="24"/>
                <w:sz w:val="24"/>
              </w:rPr>
            </w:pPr>
            <w:r>
              <w:rPr>
                <w:rFonts w:hint="eastAsia"/>
                <w:bCs/>
                <w:snapToGrid w:val="0"/>
                <w:color w:val="auto"/>
                <w:kern w:val="24"/>
                <w:sz w:val="24"/>
              </w:rPr>
              <w:t>（</w:t>
            </w:r>
            <w:r>
              <w:rPr>
                <w:bCs/>
                <w:snapToGrid w:val="0"/>
                <w:color w:val="auto"/>
                <w:kern w:val="24"/>
                <w:sz w:val="24"/>
              </w:rPr>
              <w:t>3</w:t>
            </w:r>
            <w:r>
              <w:rPr>
                <w:rFonts w:hint="eastAsia"/>
                <w:bCs/>
                <w:snapToGrid w:val="0"/>
                <w:color w:val="auto"/>
                <w:kern w:val="24"/>
                <w:sz w:val="24"/>
              </w:rPr>
              <w:t>）简单防渗区</w:t>
            </w:r>
          </w:p>
          <w:p w14:paraId="03DB707E">
            <w:pPr>
              <w:widowControl/>
              <w:spacing w:line="500" w:lineRule="atLeast"/>
              <w:ind w:firstLine="480" w:firstLineChars="200"/>
              <w:rPr>
                <w:bCs/>
                <w:snapToGrid w:val="0"/>
                <w:color w:val="auto"/>
                <w:kern w:val="24"/>
                <w:sz w:val="24"/>
              </w:rPr>
            </w:pPr>
            <w:r>
              <w:rPr>
                <w:rFonts w:hint="eastAsia"/>
                <w:bCs/>
                <w:snapToGrid w:val="0"/>
                <w:color w:val="auto"/>
                <w:kern w:val="24"/>
                <w:sz w:val="24"/>
              </w:rPr>
              <w:t>本项目</w:t>
            </w:r>
            <w:r>
              <w:rPr>
                <w:rFonts w:hint="eastAsia"/>
                <w:bCs/>
                <w:snapToGrid w:val="0"/>
                <w:color w:val="auto"/>
                <w:kern w:val="24"/>
                <w:sz w:val="24"/>
                <w:lang w:eastAsia="zh-Hans"/>
              </w:rPr>
              <w:t>厂区</w:t>
            </w:r>
            <w:r>
              <w:rPr>
                <w:rFonts w:hint="eastAsia"/>
                <w:bCs/>
                <w:snapToGrid w:val="0"/>
                <w:color w:val="auto"/>
                <w:kern w:val="24"/>
                <w:sz w:val="24"/>
              </w:rPr>
              <w:t>重点污染防治区和一般污染防治区之外的区域为简单污染防治区（办公区、车间内部道路等），采用抗渗钢筋混凝土浇制地面底板，可达到一般地面硬化要求</w:t>
            </w:r>
            <w:r>
              <w:rPr>
                <w:rFonts w:hint="eastAsia"/>
                <w:bCs/>
                <w:snapToGrid w:val="0"/>
                <w:color w:val="auto"/>
                <w:kern w:val="24"/>
                <w:sz w:val="24"/>
                <w:lang w:eastAsia="zh-Hans"/>
              </w:rPr>
              <w:t>。</w:t>
            </w:r>
          </w:p>
          <w:p w14:paraId="5C060ECE">
            <w:pPr>
              <w:widowControl/>
              <w:spacing w:line="500" w:lineRule="atLeast"/>
              <w:ind w:firstLine="480" w:firstLineChars="200"/>
              <w:rPr>
                <w:snapToGrid w:val="0"/>
                <w:color w:val="auto"/>
                <w:kern w:val="0"/>
                <w:sz w:val="24"/>
              </w:rPr>
            </w:pPr>
            <w:r>
              <w:rPr>
                <w:rFonts w:hint="eastAsia"/>
                <w:bCs/>
                <w:snapToGrid w:val="0"/>
                <w:color w:val="auto"/>
                <w:kern w:val="24"/>
                <w:sz w:val="24"/>
              </w:rPr>
              <w:t>本项目地下水分区防渗措施见</w:t>
            </w:r>
            <w:r>
              <w:rPr>
                <w:rFonts w:hint="eastAsia"/>
                <w:bCs/>
                <w:snapToGrid w:val="0"/>
                <w:color w:val="auto"/>
                <w:kern w:val="24"/>
                <w:sz w:val="24"/>
                <w:lang w:eastAsia="zh-Hans"/>
              </w:rPr>
              <w:t>下</w:t>
            </w:r>
            <w:r>
              <w:rPr>
                <w:rFonts w:hint="eastAsia"/>
                <w:bCs/>
                <w:snapToGrid w:val="0"/>
                <w:color w:val="auto"/>
                <w:kern w:val="24"/>
                <w:sz w:val="24"/>
              </w:rPr>
              <w:t>表</w:t>
            </w:r>
            <w:r>
              <w:rPr>
                <w:rFonts w:hint="eastAsia"/>
                <w:bCs/>
                <w:snapToGrid w:val="0"/>
                <w:color w:val="auto"/>
                <w:kern w:val="24"/>
                <w:sz w:val="24"/>
                <w:lang w:eastAsia="zh-Hans"/>
              </w:rPr>
              <w:t>，</w:t>
            </w:r>
            <w:r>
              <w:rPr>
                <w:rFonts w:hint="eastAsia"/>
                <w:snapToGrid w:val="0"/>
                <w:color w:val="auto"/>
                <w:kern w:val="0"/>
                <w:sz w:val="24"/>
              </w:rPr>
              <w:t>厂区分区防渗图见附图</w:t>
            </w:r>
            <w:r>
              <w:rPr>
                <w:snapToGrid w:val="0"/>
                <w:color w:val="auto"/>
                <w:kern w:val="0"/>
                <w:sz w:val="24"/>
              </w:rPr>
              <w:t>3</w:t>
            </w:r>
            <w:r>
              <w:rPr>
                <w:rFonts w:hint="eastAsia"/>
                <w:snapToGrid w:val="0"/>
                <w:color w:val="auto"/>
                <w:kern w:val="0"/>
                <w:sz w:val="24"/>
              </w:rPr>
              <w:t>。</w:t>
            </w:r>
          </w:p>
          <w:p w14:paraId="3E286B72">
            <w:pPr>
              <w:widowControl/>
              <w:spacing w:line="500" w:lineRule="atLeast"/>
              <w:jc w:val="center"/>
              <w:rPr>
                <w:b/>
                <w:snapToGrid w:val="0"/>
                <w:color w:val="auto"/>
                <w:kern w:val="24"/>
                <w:sz w:val="24"/>
              </w:rPr>
            </w:pPr>
            <w:r>
              <w:rPr>
                <w:rFonts w:hint="eastAsia"/>
                <w:b/>
                <w:snapToGrid w:val="0"/>
                <w:color w:val="auto"/>
                <w:kern w:val="24"/>
                <w:sz w:val="24"/>
              </w:rPr>
              <w:t>表</w:t>
            </w:r>
            <w:r>
              <w:rPr>
                <w:b/>
                <w:snapToGrid w:val="0"/>
                <w:color w:val="auto"/>
                <w:kern w:val="24"/>
                <w:sz w:val="24"/>
              </w:rPr>
              <w:t>4-2</w:t>
            </w:r>
            <w:r>
              <w:rPr>
                <w:rFonts w:hint="eastAsia"/>
                <w:b/>
                <w:snapToGrid w:val="0"/>
                <w:color w:val="auto"/>
                <w:kern w:val="24"/>
                <w:sz w:val="24"/>
                <w:lang w:val="en-US" w:eastAsia="zh-CN"/>
              </w:rPr>
              <w:t>1</w:t>
            </w:r>
            <w:r>
              <w:rPr>
                <w:b/>
                <w:snapToGrid w:val="0"/>
                <w:color w:val="auto"/>
                <w:kern w:val="24"/>
                <w:sz w:val="24"/>
              </w:rPr>
              <w:t xml:space="preserve">  </w:t>
            </w:r>
            <w:r>
              <w:rPr>
                <w:rFonts w:hint="eastAsia"/>
                <w:b/>
                <w:snapToGrid w:val="0"/>
                <w:color w:val="auto"/>
                <w:kern w:val="24"/>
                <w:sz w:val="24"/>
              </w:rPr>
              <w:t>地下水分区防渗措施一览表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288"/>
              <w:gridCol w:w="1417"/>
              <w:gridCol w:w="5204"/>
            </w:tblGrid>
            <w:tr w14:paraId="6D34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5AE79699">
                  <w:pPr>
                    <w:widowControl/>
                    <w:ind w:left="-101" w:leftChars="-48" w:right="-118" w:rightChars="-56"/>
                    <w:jc w:val="center"/>
                    <w:rPr>
                      <w:snapToGrid w:val="0"/>
                      <w:color w:val="auto"/>
                      <w:kern w:val="0"/>
                      <w:szCs w:val="21"/>
                    </w:rPr>
                  </w:pPr>
                  <w:r>
                    <w:rPr>
                      <w:rFonts w:hint="eastAsia"/>
                      <w:snapToGrid w:val="0"/>
                      <w:color w:val="auto"/>
                      <w:kern w:val="0"/>
                      <w:szCs w:val="21"/>
                    </w:rPr>
                    <w:t>序号</w:t>
                  </w:r>
                </w:p>
              </w:tc>
              <w:tc>
                <w:tcPr>
                  <w:tcW w:w="1208" w:type="pct"/>
                  <w:tcBorders>
                    <w:top w:val="single" w:color="auto" w:sz="4" w:space="0"/>
                    <w:left w:val="single" w:color="auto" w:sz="4" w:space="0"/>
                    <w:bottom w:val="single" w:color="auto" w:sz="4" w:space="0"/>
                    <w:right w:val="single" w:color="auto" w:sz="4" w:space="0"/>
                  </w:tcBorders>
                  <w:vAlign w:val="center"/>
                </w:tcPr>
                <w:p w14:paraId="45EAE675">
                  <w:pPr>
                    <w:widowControl/>
                    <w:jc w:val="center"/>
                    <w:rPr>
                      <w:snapToGrid w:val="0"/>
                      <w:color w:val="auto"/>
                      <w:kern w:val="0"/>
                      <w:szCs w:val="21"/>
                    </w:rPr>
                  </w:pPr>
                  <w:r>
                    <w:rPr>
                      <w:rFonts w:hint="eastAsia"/>
                      <w:snapToGrid w:val="0"/>
                      <w:color w:val="auto"/>
                      <w:kern w:val="0"/>
                      <w:szCs w:val="21"/>
                    </w:rPr>
                    <w:t>构筑物名称</w:t>
                  </w:r>
                </w:p>
              </w:tc>
              <w:tc>
                <w:tcPr>
                  <w:tcW w:w="748" w:type="pct"/>
                  <w:tcBorders>
                    <w:top w:val="single" w:color="auto" w:sz="4" w:space="0"/>
                    <w:left w:val="single" w:color="auto" w:sz="4" w:space="0"/>
                    <w:bottom w:val="single" w:color="auto" w:sz="4" w:space="0"/>
                    <w:right w:val="single" w:color="auto" w:sz="4" w:space="0"/>
                  </w:tcBorders>
                  <w:vAlign w:val="center"/>
                </w:tcPr>
                <w:p w14:paraId="5737C016">
                  <w:pPr>
                    <w:widowControl/>
                    <w:ind w:left="-105" w:leftChars="-50" w:right="-38" w:rightChars="-18"/>
                    <w:jc w:val="center"/>
                    <w:rPr>
                      <w:snapToGrid w:val="0"/>
                      <w:color w:val="auto"/>
                      <w:kern w:val="0"/>
                      <w:szCs w:val="21"/>
                    </w:rPr>
                  </w:pPr>
                  <w:r>
                    <w:rPr>
                      <w:rFonts w:hint="eastAsia"/>
                      <w:snapToGrid w:val="0"/>
                      <w:color w:val="auto"/>
                      <w:kern w:val="0"/>
                      <w:szCs w:val="21"/>
                      <w:lang w:bidi="ar"/>
                    </w:rPr>
                    <w:t>污染防控类别</w:t>
                  </w:r>
                </w:p>
              </w:tc>
              <w:tc>
                <w:tcPr>
                  <w:tcW w:w="2748" w:type="pct"/>
                  <w:tcBorders>
                    <w:top w:val="single" w:color="auto" w:sz="4" w:space="0"/>
                    <w:left w:val="single" w:color="auto" w:sz="4" w:space="0"/>
                    <w:bottom w:val="single" w:color="auto" w:sz="4" w:space="0"/>
                    <w:right w:val="single" w:color="auto" w:sz="4" w:space="0"/>
                  </w:tcBorders>
                  <w:vAlign w:val="center"/>
                </w:tcPr>
                <w:p w14:paraId="0CCA6EC8">
                  <w:pPr>
                    <w:widowControl/>
                    <w:jc w:val="center"/>
                    <w:rPr>
                      <w:snapToGrid w:val="0"/>
                      <w:color w:val="auto"/>
                      <w:kern w:val="0"/>
                      <w:szCs w:val="21"/>
                    </w:rPr>
                  </w:pPr>
                  <w:r>
                    <w:rPr>
                      <w:rFonts w:hint="eastAsia"/>
                      <w:snapToGrid w:val="0"/>
                      <w:color w:val="auto"/>
                      <w:kern w:val="0"/>
                      <w:szCs w:val="21"/>
                    </w:rPr>
                    <w:t>防渗技术要求</w:t>
                  </w:r>
                </w:p>
              </w:tc>
            </w:tr>
            <w:tr w14:paraId="16F1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5EDD1EAC">
                  <w:pPr>
                    <w:widowControl/>
                    <w:jc w:val="center"/>
                    <w:rPr>
                      <w:snapToGrid w:val="0"/>
                      <w:color w:val="auto"/>
                      <w:kern w:val="0"/>
                      <w:szCs w:val="21"/>
                    </w:rPr>
                  </w:pPr>
                  <w:r>
                    <w:rPr>
                      <w:snapToGrid w:val="0"/>
                      <w:color w:val="auto"/>
                      <w:kern w:val="0"/>
                      <w:szCs w:val="21"/>
                    </w:rPr>
                    <w:t>1</w:t>
                  </w:r>
                </w:p>
              </w:tc>
              <w:tc>
                <w:tcPr>
                  <w:tcW w:w="1208" w:type="pct"/>
                  <w:tcBorders>
                    <w:top w:val="single" w:color="auto" w:sz="4" w:space="0"/>
                    <w:left w:val="single" w:color="auto" w:sz="4" w:space="0"/>
                    <w:bottom w:val="single" w:color="auto" w:sz="4" w:space="0"/>
                    <w:right w:val="single" w:color="auto" w:sz="4" w:space="0"/>
                  </w:tcBorders>
                  <w:vAlign w:val="center"/>
                </w:tcPr>
                <w:p w14:paraId="51B1203B">
                  <w:pPr>
                    <w:widowControl/>
                    <w:jc w:val="center"/>
                    <w:rPr>
                      <w:snapToGrid w:val="0"/>
                      <w:color w:val="auto"/>
                      <w:kern w:val="0"/>
                      <w:szCs w:val="21"/>
                      <w:lang w:bidi="ar"/>
                    </w:rPr>
                  </w:pPr>
                  <w:r>
                    <w:rPr>
                      <w:rFonts w:hint="eastAsia"/>
                      <w:snapToGrid w:val="0"/>
                      <w:color w:val="auto"/>
                      <w:kern w:val="0"/>
                      <w:szCs w:val="21"/>
                    </w:rPr>
                    <w:t>危废库</w:t>
                  </w:r>
                </w:p>
              </w:tc>
              <w:tc>
                <w:tcPr>
                  <w:tcW w:w="748" w:type="pct"/>
                  <w:tcBorders>
                    <w:top w:val="single" w:color="auto" w:sz="4" w:space="0"/>
                    <w:left w:val="single" w:color="auto" w:sz="4" w:space="0"/>
                    <w:bottom w:val="single" w:color="auto" w:sz="4" w:space="0"/>
                    <w:right w:val="single" w:color="auto" w:sz="4" w:space="0"/>
                  </w:tcBorders>
                  <w:vAlign w:val="center"/>
                </w:tcPr>
                <w:p w14:paraId="196125D2">
                  <w:pPr>
                    <w:widowControl/>
                    <w:jc w:val="center"/>
                    <w:rPr>
                      <w:snapToGrid w:val="0"/>
                      <w:color w:val="auto"/>
                      <w:kern w:val="0"/>
                      <w:szCs w:val="21"/>
                    </w:rPr>
                  </w:pPr>
                  <w:r>
                    <w:rPr>
                      <w:rFonts w:hint="eastAsia"/>
                      <w:snapToGrid w:val="0"/>
                      <w:color w:val="auto"/>
                      <w:kern w:val="0"/>
                      <w:szCs w:val="21"/>
                    </w:rPr>
                    <w:t>重点防渗区</w:t>
                  </w:r>
                </w:p>
              </w:tc>
              <w:tc>
                <w:tcPr>
                  <w:tcW w:w="2748" w:type="pct"/>
                  <w:tcBorders>
                    <w:top w:val="single" w:color="auto" w:sz="4" w:space="0"/>
                    <w:left w:val="single" w:color="auto" w:sz="4" w:space="0"/>
                    <w:bottom w:val="single" w:color="auto" w:sz="4" w:space="0"/>
                    <w:right w:val="single" w:color="auto" w:sz="4" w:space="0"/>
                  </w:tcBorders>
                  <w:vAlign w:val="center"/>
                </w:tcPr>
                <w:p w14:paraId="1C43D6AD">
                  <w:pPr>
                    <w:widowControl/>
                    <w:jc w:val="center"/>
                    <w:rPr>
                      <w:snapToGrid w:val="0"/>
                      <w:color w:val="auto"/>
                      <w:kern w:val="0"/>
                      <w:szCs w:val="21"/>
                      <w:lang w:bidi="ar"/>
                    </w:rPr>
                  </w:pPr>
                  <w:r>
                    <w:rPr>
                      <w:rFonts w:hint="eastAsia"/>
                      <w:snapToGrid w:val="0"/>
                      <w:color w:val="auto"/>
                      <w:kern w:val="0"/>
                      <w:szCs w:val="21"/>
                    </w:rPr>
                    <w:t>等效黏土防渗层</w:t>
                  </w:r>
                  <w:r>
                    <w:rPr>
                      <w:snapToGrid w:val="0"/>
                      <w:color w:val="auto"/>
                      <w:kern w:val="0"/>
                      <w:szCs w:val="21"/>
                    </w:rPr>
                    <w:t>Mb</w:t>
                  </w:r>
                  <w:r>
                    <w:rPr>
                      <w:rFonts w:hint="eastAsia"/>
                      <w:snapToGrid w:val="0"/>
                      <w:color w:val="auto"/>
                      <w:kern w:val="0"/>
                      <w:szCs w:val="21"/>
                    </w:rPr>
                    <w:t>≥</w:t>
                  </w:r>
                  <w:r>
                    <w:rPr>
                      <w:snapToGrid w:val="0"/>
                      <w:color w:val="auto"/>
                      <w:kern w:val="0"/>
                      <w:szCs w:val="21"/>
                    </w:rPr>
                    <w:t>6.0m</w:t>
                  </w:r>
                  <w:r>
                    <w:rPr>
                      <w:rFonts w:hint="eastAsia"/>
                      <w:snapToGrid w:val="0"/>
                      <w:color w:val="auto"/>
                      <w:kern w:val="0"/>
                      <w:szCs w:val="21"/>
                    </w:rPr>
                    <w:t>，</w:t>
                  </w:r>
                  <w:r>
                    <w:rPr>
                      <w:snapToGrid w:val="0"/>
                      <w:color w:val="auto"/>
                      <w:kern w:val="0"/>
                      <w:szCs w:val="21"/>
                    </w:rPr>
                    <w:t>K</w:t>
                  </w:r>
                  <w:r>
                    <w:rPr>
                      <w:rFonts w:hint="eastAsia"/>
                      <w:snapToGrid w:val="0"/>
                      <w:color w:val="auto"/>
                      <w:kern w:val="0"/>
                      <w:szCs w:val="21"/>
                    </w:rPr>
                    <w:t>≤</w:t>
                  </w:r>
                  <w:r>
                    <w:rPr>
                      <w:snapToGrid w:val="0"/>
                      <w:color w:val="auto"/>
                      <w:kern w:val="0"/>
                      <w:szCs w:val="21"/>
                    </w:rPr>
                    <w:t>10</w:t>
                  </w:r>
                  <w:r>
                    <w:rPr>
                      <w:snapToGrid w:val="0"/>
                      <w:color w:val="auto"/>
                      <w:kern w:val="0"/>
                      <w:szCs w:val="21"/>
                      <w:vertAlign w:val="superscript"/>
                    </w:rPr>
                    <w:t>-7</w:t>
                  </w:r>
                  <w:r>
                    <w:rPr>
                      <w:snapToGrid w:val="0"/>
                      <w:color w:val="auto"/>
                      <w:kern w:val="0"/>
                      <w:szCs w:val="21"/>
                    </w:rPr>
                    <w:t>cm/s</w:t>
                  </w:r>
                  <w:r>
                    <w:rPr>
                      <w:rFonts w:hint="eastAsia"/>
                      <w:snapToGrid w:val="0"/>
                      <w:color w:val="auto"/>
                      <w:kern w:val="0"/>
                      <w:szCs w:val="21"/>
                    </w:rPr>
                    <w:t>；或参照</w:t>
                  </w:r>
                  <w:r>
                    <w:rPr>
                      <w:snapToGrid w:val="0"/>
                      <w:color w:val="auto"/>
                      <w:kern w:val="0"/>
                      <w:szCs w:val="21"/>
                    </w:rPr>
                    <w:t>GB18597</w:t>
                  </w:r>
                  <w:r>
                    <w:rPr>
                      <w:rFonts w:hint="eastAsia"/>
                      <w:snapToGrid w:val="0"/>
                      <w:color w:val="auto"/>
                      <w:kern w:val="0"/>
                      <w:szCs w:val="21"/>
                    </w:rPr>
                    <w:t>执行；其中危废贮存场所应同时满足防渗层为至少</w:t>
                  </w:r>
                  <w:r>
                    <w:rPr>
                      <w:snapToGrid w:val="0"/>
                      <w:color w:val="auto"/>
                      <w:kern w:val="0"/>
                      <w:szCs w:val="21"/>
                    </w:rPr>
                    <w:t>1m</w:t>
                  </w:r>
                  <w:r>
                    <w:rPr>
                      <w:rFonts w:hint="eastAsia"/>
                      <w:snapToGrid w:val="0"/>
                      <w:color w:val="auto"/>
                      <w:kern w:val="0"/>
                      <w:szCs w:val="21"/>
                    </w:rPr>
                    <w:t>厚粘土层（渗透系数≤</w:t>
                  </w:r>
                  <w:r>
                    <w:rPr>
                      <w:snapToGrid w:val="0"/>
                      <w:color w:val="auto"/>
                      <w:kern w:val="0"/>
                      <w:szCs w:val="21"/>
                    </w:rPr>
                    <w:t>10</w:t>
                  </w:r>
                  <w:r>
                    <w:rPr>
                      <w:snapToGrid w:val="0"/>
                      <w:color w:val="auto"/>
                      <w:kern w:val="0"/>
                      <w:szCs w:val="21"/>
                      <w:vertAlign w:val="superscript"/>
                    </w:rPr>
                    <w:t>-7</w:t>
                  </w:r>
                  <w:r>
                    <w:rPr>
                      <w:snapToGrid w:val="0"/>
                      <w:color w:val="auto"/>
                      <w:kern w:val="0"/>
                      <w:szCs w:val="21"/>
                    </w:rPr>
                    <w:t>cm/s</w:t>
                  </w:r>
                  <w:r>
                    <w:rPr>
                      <w:rFonts w:hint="eastAsia"/>
                      <w:snapToGrid w:val="0"/>
                      <w:color w:val="auto"/>
                      <w:kern w:val="0"/>
                      <w:szCs w:val="21"/>
                    </w:rPr>
                    <w:t>），或</w:t>
                  </w:r>
                  <w:r>
                    <w:rPr>
                      <w:snapToGrid w:val="0"/>
                      <w:color w:val="auto"/>
                      <w:kern w:val="0"/>
                      <w:szCs w:val="21"/>
                    </w:rPr>
                    <w:t>2mm</w:t>
                  </w:r>
                  <w:r>
                    <w:rPr>
                      <w:rFonts w:hint="eastAsia"/>
                      <w:snapToGrid w:val="0"/>
                      <w:color w:val="auto"/>
                      <w:kern w:val="0"/>
                      <w:szCs w:val="21"/>
                    </w:rPr>
                    <w:t>厚高密度聚乙烯，或至少</w:t>
                  </w:r>
                  <w:r>
                    <w:rPr>
                      <w:snapToGrid w:val="0"/>
                      <w:color w:val="auto"/>
                      <w:kern w:val="0"/>
                      <w:szCs w:val="21"/>
                    </w:rPr>
                    <w:t>2mm</w:t>
                  </w:r>
                  <w:r>
                    <w:rPr>
                      <w:rFonts w:hint="eastAsia"/>
                      <w:snapToGrid w:val="0"/>
                      <w:color w:val="auto"/>
                      <w:kern w:val="0"/>
                      <w:szCs w:val="21"/>
                    </w:rPr>
                    <w:t>厚的其它人工材料（渗透系数≤</w:t>
                  </w:r>
                  <w:r>
                    <w:rPr>
                      <w:snapToGrid w:val="0"/>
                      <w:color w:val="auto"/>
                      <w:kern w:val="0"/>
                      <w:szCs w:val="21"/>
                    </w:rPr>
                    <w:t>10</w:t>
                  </w:r>
                  <w:r>
                    <w:rPr>
                      <w:snapToGrid w:val="0"/>
                      <w:color w:val="auto"/>
                      <w:kern w:val="0"/>
                      <w:szCs w:val="21"/>
                      <w:vertAlign w:val="superscript"/>
                    </w:rPr>
                    <w:t>-10</w:t>
                  </w:r>
                  <w:r>
                    <w:rPr>
                      <w:snapToGrid w:val="0"/>
                      <w:color w:val="auto"/>
                      <w:kern w:val="0"/>
                      <w:szCs w:val="21"/>
                    </w:rPr>
                    <w:t>cm/s</w:t>
                  </w:r>
                  <w:r>
                    <w:rPr>
                      <w:rFonts w:hint="eastAsia"/>
                      <w:snapToGrid w:val="0"/>
                      <w:color w:val="auto"/>
                      <w:kern w:val="0"/>
                      <w:szCs w:val="21"/>
                    </w:rPr>
                    <w:t>），涂环氧树脂防腐</w:t>
                  </w:r>
                </w:p>
              </w:tc>
            </w:tr>
            <w:tr w14:paraId="5895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276A83CD">
                  <w:pPr>
                    <w:widowControl/>
                    <w:jc w:val="center"/>
                    <w:rPr>
                      <w:snapToGrid w:val="0"/>
                      <w:color w:val="auto"/>
                      <w:kern w:val="0"/>
                      <w:szCs w:val="21"/>
                    </w:rPr>
                  </w:pPr>
                  <w:r>
                    <w:rPr>
                      <w:rFonts w:hint="eastAsia"/>
                      <w:snapToGrid w:val="0"/>
                      <w:color w:val="auto"/>
                      <w:kern w:val="0"/>
                      <w:szCs w:val="21"/>
                    </w:rPr>
                    <w:t>2</w:t>
                  </w:r>
                </w:p>
              </w:tc>
              <w:tc>
                <w:tcPr>
                  <w:tcW w:w="1208" w:type="pct"/>
                  <w:tcBorders>
                    <w:top w:val="single" w:color="auto" w:sz="4" w:space="0"/>
                    <w:left w:val="single" w:color="auto" w:sz="4" w:space="0"/>
                    <w:bottom w:val="single" w:color="auto" w:sz="4" w:space="0"/>
                    <w:right w:val="single" w:color="auto" w:sz="4" w:space="0"/>
                  </w:tcBorders>
                  <w:vAlign w:val="center"/>
                </w:tcPr>
                <w:p w14:paraId="3F922C3F">
                  <w:pPr>
                    <w:widowControl/>
                    <w:jc w:val="center"/>
                    <w:rPr>
                      <w:snapToGrid w:val="0"/>
                      <w:color w:val="auto"/>
                      <w:kern w:val="0"/>
                      <w:szCs w:val="21"/>
                      <w:lang w:bidi="ar"/>
                    </w:rPr>
                  </w:pPr>
                  <w:r>
                    <w:rPr>
                      <w:rFonts w:hint="eastAsia"/>
                      <w:snapToGrid w:val="0"/>
                      <w:color w:val="auto"/>
                      <w:kern w:val="0"/>
                      <w:szCs w:val="21"/>
                      <w:lang w:eastAsia="zh-CN" w:bidi="ar"/>
                    </w:rPr>
                    <w:t>一般</w:t>
                  </w:r>
                  <w:r>
                    <w:rPr>
                      <w:rFonts w:hint="eastAsia"/>
                      <w:snapToGrid w:val="0"/>
                      <w:color w:val="auto"/>
                      <w:kern w:val="0"/>
                      <w:szCs w:val="21"/>
                      <w:lang w:bidi="ar"/>
                    </w:rPr>
                    <w:t>固废暂存间、生产车间、原料库</w:t>
                  </w:r>
                  <w:r>
                    <w:rPr>
                      <w:rFonts w:hint="eastAsia"/>
                      <w:snapToGrid w:val="0"/>
                      <w:color w:val="auto"/>
                      <w:kern w:val="0"/>
                      <w:szCs w:val="21"/>
                    </w:rPr>
                    <w:t>、成品库</w:t>
                  </w:r>
                </w:p>
              </w:tc>
              <w:tc>
                <w:tcPr>
                  <w:tcW w:w="748" w:type="pct"/>
                  <w:tcBorders>
                    <w:top w:val="single" w:color="auto" w:sz="4" w:space="0"/>
                    <w:left w:val="single" w:color="auto" w:sz="4" w:space="0"/>
                    <w:bottom w:val="single" w:color="auto" w:sz="4" w:space="0"/>
                    <w:right w:val="single" w:color="auto" w:sz="4" w:space="0"/>
                  </w:tcBorders>
                  <w:vAlign w:val="center"/>
                </w:tcPr>
                <w:p w14:paraId="31E8B3C5">
                  <w:pPr>
                    <w:widowControl/>
                    <w:jc w:val="center"/>
                    <w:rPr>
                      <w:snapToGrid w:val="0"/>
                      <w:color w:val="auto"/>
                      <w:kern w:val="0"/>
                      <w:szCs w:val="21"/>
                    </w:rPr>
                  </w:pPr>
                  <w:r>
                    <w:rPr>
                      <w:rFonts w:hint="eastAsia"/>
                      <w:snapToGrid w:val="0"/>
                      <w:color w:val="auto"/>
                      <w:kern w:val="0"/>
                      <w:szCs w:val="21"/>
                    </w:rPr>
                    <w:t>一般防渗区</w:t>
                  </w:r>
                </w:p>
              </w:tc>
              <w:tc>
                <w:tcPr>
                  <w:tcW w:w="2748" w:type="pct"/>
                  <w:tcBorders>
                    <w:top w:val="single" w:color="auto" w:sz="4" w:space="0"/>
                    <w:left w:val="single" w:color="auto" w:sz="4" w:space="0"/>
                    <w:bottom w:val="single" w:color="auto" w:sz="4" w:space="0"/>
                    <w:right w:val="single" w:color="auto" w:sz="4" w:space="0"/>
                  </w:tcBorders>
                  <w:vAlign w:val="center"/>
                </w:tcPr>
                <w:p w14:paraId="4F1363DA">
                  <w:pPr>
                    <w:widowControl/>
                    <w:jc w:val="center"/>
                    <w:rPr>
                      <w:snapToGrid w:val="0"/>
                      <w:color w:val="auto"/>
                      <w:kern w:val="0"/>
                      <w:szCs w:val="21"/>
                      <w:lang w:bidi="ar"/>
                    </w:rPr>
                  </w:pPr>
                  <w:r>
                    <w:rPr>
                      <w:rFonts w:hint="eastAsia"/>
                      <w:snapToGrid w:val="0"/>
                      <w:color w:val="auto"/>
                      <w:kern w:val="0"/>
                      <w:szCs w:val="21"/>
                      <w:lang w:bidi="ar"/>
                    </w:rPr>
                    <w:t>等效粘土防渗层</w:t>
                  </w:r>
                  <w:r>
                    <w:rPr>
                      <w:snapToGrid w:val="0"/>
                      <w:color w:val="auto"/>
                      <w:kern w:val="0"/>
                      <w:szCs w:val="21"/>
                      <w:lang w:bidi="ar"/>
                    </w:rPr>
                    <w:t>Mb</w:t>
                  </w:r>
                  <w:r>
                    <w:rPr>
                      <w:rFonts w:hint="eastAsia"/>
                      <w:snapToGrid w:val="0"/>
                      <w:color w:val="auto"/>
                      <w:kern w:val="0"/>
                      <w:szCs w:val="21"/>
                      <w:lang w:bidi="ar"/>
                    </w:rPr>
                    <w:t>≥</w:t>
                  </w:r>
                  <w:r>
                    <w:rPr>
                      <w:snapToGrid w:val="0"/>
                      <w:color w:val="auto"/>
                      <w:kern w:val="0"/>
                      <w:szCs w:val="21"/>
                      <w:lang w:bidi="ar"/>
                    </w:rPr>
                    <w:t>1.5m</w:t>
                  </w:r>
                  <w:r>
                    <w:rPr>
                      <w:rFonts w:hint="eastAsia"/>
                      <w:snapToGrid w:val="0"/>
                      <w:color w:val="auto"/>
                      <w:kern w:val="0"/>
                      <w:szCs w:val="21"/>
                      <w:lang w:bidi="ar"/>
                    </w:rPr>
                    <w:t>，</w:t>
                  </w:r>
                  <w:r>
                    <w:rPr>
                      <w:snapToGrid w:val="0"/>
                      <w:color w:val="auto"/>
                      <w:kern w:val="0"/>
                      <w:szCs w:val="21"/>
                      <w:lang w:bidi="ar"/>
                    </w:rPr>
                    <w:t>K</w:t>
                  </w:r>
                  <w:r>
                    <w:rPr>
                      <w:rFonts w:hint="eastAsia"/>
                      <w:snapToGrid w:val="0"/>
                      <w:color w:val="auto"/>
                      <w:kern w:val="0"/>
                      <w:szCs w:val="21"/>
                      <w:lang w:bidi="ar"/>
                    </w:rPr>
                    <w:t>≤</w:t>
                  </w:r>
                  <w:r>
                    <w:rPr>
                      <w:snapToGrid w:val="0"/>
                      <w:color w:val="auto"/>
                      <w:kern w:val="0"/>
                      <w:szCs w:val="21"/>
                      <w:lang w:bidi="ar"/>
                    </w:rPr>
                    <w:t>10</w:t>
                  </w:r>
                  <w:r>
                    <w:rPr>
                      <w:snapToGrid w:val="0"/>
                      <w:color w:val="auto"/>
                      <w:kern w:val="0"/>
                      <w:szCs w:val="21"/>
                      <w:vertAlign w:val="superscript"/>
                      <w:lang w:bidi="ar"/>
                    </w:rPr>
                    <w:t>-7</w:t>
                  </w:r>
                  <w:r>
                    <w:rPr>
                      <w:snapToGrid w:val="0"/>
                      <w:color w:val="auto"/>
                      <w:kern w:val="0"/>
                      <w:szCs w:val="21"/>
                      <w:lang w:bidi="ar"/>
                    </w:rPr>
                    <w:t>cm/s</w:t>
                  </w:r>
                  <w:r>
                    <w:rPr>
                      <w:rFonts w:hint="eastAsia"/>
                      <w:snapToGrid w:val="0"/>
                      <w:color w:val="auto"/>
                      <w:kern w:val="0"/>
                      <w:szCs w:val="21"/>
                      <w:lang w:bidi="ar"/>
                    </w:rPr>
                    <w:t>；或参照</w:t>
                  </w:r>
                  <w:r>
                    <w:rPr>
                      <w:snapToGrid w:val="0"/>
                      <w:color w:val="auto"/>
                      <w:kern w:val="0"/>
                      <w:szCs w:val="21"/>
                      <w:lang w:bidi="ar"/>
                    </w:rPr>
                    <w:t>GB18598</w:t>
                  </w:r>
                  <w:r>
                    <w:rPr>
                      <w:rFonts w:hint="eastAsia"/>
                      <w:snapToGrid w:val="0"/>
                      <w:color w:val="auto"/>
                      <w:kern w:val="0"/>
                      <w:szCs w:val="21"/>
                      <w:lang w:bidi="ar"/>
                    </w:rPr>
                    <w:t>执行</w:t>
                  </w:r>
                </w:p>
              </w:tc>
            </w:tr>
            <w:tr w14:paraId="608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tcBorders>
                    <w:top w:val="single" w:color="auto" w:sz="4" w:space="0"/>
                    <w:left w:val="single" w:color="auto" w:sz="4" w:space="0"/>
                    <w:bottom w:val="single" w:color="auto" w:sz="4" w:space="0"/>
                    <w:right w:val="single" w:color="auto" w:sz="4" w:space="0"/>
                  </w:tcBorders>
                  <w:vAlign w:val="center"/>
                </w:tcPr>
                <w:p w14:paraId="6AAA8CEF">
                  <w:pPr>
                    <w:widowControl/>
                    <w:jc w:val="center"/>
                    <w:rPr>
                      <w:snapToGrid w:val="0"/>
                      <w:color w:val="auto"/>
                      <w:kern w:val="0"/>
                      <w:szCs w:val="21"/>
                    </w:rPr>
                  </w:pPr>
                  <w:r>
                    <w:rPr>
                      <w:snapToGrid w:val="0"/>
                      <w:color w:val="auto"/>
                      <w:kern w:val="0"/>
                      <w:szCs w:val="21"/>
                    </w:rPr>
                    <w:t>3</w:t>
                  </w:r>
                </w:p>
              </w:tc>
              <w:tc>
                <w:tcPr>
                  <w:tcW w:w="1208" w:type="pct"/>
                  <w:tcBorders>
                    <w:top w:val="single" w:color="auto" w:sz="4" w:space="0"/>
                    <w:left w:val="single" w:color="auto" w:sz="4" w:space="0"/>
                    <w:bottom w:val="single" w:color="auto" w:sz="4" w:space="0"/>
                    <w:right w:val="single" w:color="auto" w:sz="4" w:space="0"/>
                  </w:tcBorders>
                  <w:vAlign w:val="center"/>
                </w:tcPr>
                <w:p w14:paraId="3FE05CC4">
                  <w:pPr>
                    <w:widowControl/>
                    <w:jc w:val="center"/>
                    <w:rPr>
                      <w:snapToGrid w:val="0"/>
                      <w:color w:val="auto"/>
                      <w:kern w:val="0"/>
                      <w:szCs w:val="21"/>
                      <w:lang w:bidi="ar"/>
                    </w:rPr>
                  </w:pPr>
                  <w:r>
                    <w:rPr>
                      <w:rFonts w:hint="eastAsia"/>
                      <w:snapToGrid w:val="0"/>
                      <w:color w:val="auto"/>
                      <w:kern w:val="0"/>
                      <w:szCs w:val="21"/>
                      <w:lang w:bidi="ar"/>
                    </w:rPr>
                    <w:t>办公区</w:t>
                  </w:r>
                  <w:r>
                    <w:rPr>
                      <w:rFonts w:hint="eastAsia"/>
                      <w:snapToGrid w:val="0"/>
                      <w:color w:val="auto"/>
                      <w:kern w:val="0"/>
                      <w:szCs w:val="21"/>
                    </w:rPr>
                    <w:t>、</w:t>
                  </w:r>
                  <w:r>
                    <w:rPr>
                      <w:rFonts w:hint="eastAsia"/>
                      <w:snapToGrid w:val="0"/>
                      <w:color w:val="auto"/>
                      <w:kern w:val="0"/>
                      <w:szCs w:val="21"/>
                      <w:lang w:bidi="ar"/>
                    </w:rPr>
                    <w:t>车间内部道路等</w:t>
                  </w:r>
                </w:p>
              </w:tc>
              <w:tc>
                <w:tcPr>
                  <w:tcW w:w="748" w:type="pct"/>
                  <w:tcBorders>
                    <w:top w:val="single" w:color="auto" w:sz="4" w:space="0"/>
                    <w:left w:val="single" w:color="auto" w:sz="4" w:space="0"/>
                    <w:bottom w:val="single" w:color="auto" w:sz="4" w:space="0"/>
                    <w:right w:val="single" w:color="auto" w:sz="4" w:space="0"/>
                  </w:tcBorders>
                  <w:vAlign w:val="center"/>
                </w:tcPr>
                <w:p w14:paraId="37F5F21B">
                  <w:pPr>
                    <w:widowControl/>
                    <w:jc w:val="center"/>
                    <w:rPr>
                      <w:snapToGrid w:val="0"/>
                      <w:color w:val="auto"/>
                      <w:kern w:val="0"/>
                      <w:szCs w:val="21"/>
                    </w:rPr>
                  </w:pPr>
                  <w:r>
                    <w:rPr>
                      <w:rFonts w:hint="eastAsia"/>
                      <w:snapToGrid w:val="0"/>
                      <w:color w:val="auto"/>
                      <w:kern w:val="0"/>
                      <w:szCs w:val="21"/>
                    </w:rPr>
                    <w:t>简单防渗区</w:t>
                  </w:r>
                </w:p>
              </w:tc>
              <w:tc>
                <w:tcPr>
                  <w:tcW w:w="2748" w:type="pct"/>
                  <w:tcBorders>
                    <w:top w:val="single" w:color="auto" w:sz="4" w:space="0"/>
                    <w:left w:val="single" w:color="auto" w:sz="4" w:space="0"/>
                    <w:bottom w:val="single" w:color="auto" w:sz="4" w:space="0"/>
                    <w:right w:val="single" w:color="auto" w:sz="4" w:space="0"/>
                  </w:tcBorders>
                  <w:vAlign w:val="center"/>
                </w:tcPr>
                <w:p w14:paraId="1C3963C3">
                  <w:pPr>
                    <w:widowControl/>
                    <w:jc w:val="center"/>
                    <w:rPr>
                      <w:snapToGrid w:val="0"/>
                      <w:color w:val="auto"/>
                      <w:kern w:val="0"/>
                      <w:szCs w:val="21"/>
                      <w:lang w:bidi="ar"/>
                    </w:rPr>
                  </w:pPr>
                  <w:r>
                    <w:rPr>
                      <w:rFonts w:hint="eastAsia"/>
                      <w:snapToGrid w:val="0"/>
                      <w:color w:val="auto"/>
                      <w:kern w:val="0"/>
                      <w:szCs w:val="21"/>
                      <w:lang w:bidi="ar"/>
                    </w:rPr>
                    <w:t>一般地面硬化</w:t>
                  </w:r>
                </w:p>
              </w:tc>
            </w:tr>
          </w:tbl>
          <w:p w14:paraId="0847F299">
            <w:pPr>
              <w:spacing w:line="500" w:lineRule="exact"/>
              <w:ind w:firstLine="480" w:firstLineChars="200"/>
              <w:rPr>
                <w:bCs/>
                <w:snapToGrid w:val="0"/>
                <w:color w:val="auto"/>
                <w:kern w:val="0"/>
                <w:sz w:val="24"/>
              </w:rPr>
            </w:pPr>
            <w:r>
              <w:rPr>
                <w:rFonts w:hint="eastAsia"/>
                <w:snapToGrid w:val="0"/>
                <w:color w:val="auto"/>
                <w:kern w:val="0"/>
                <w:sz w:val="24"/>
              </w:rPr>
              <w:t>在采取以上分区防渗等措施后，可有效防止和避免本项目对地下水环境造成污染。</w:t>
            </w:r>
          </w:p>
          <w:p w14:paraId="609BB8F3">
            <w:pPr>
              <w:spacing w:line="500" w:lineRule="exact"/>
              <w:ind w:firstLine="480" w:firstLineChars="200"/>
              <w:rPr>
                <w:b/>
                <w:snapToGrid w:val="0"/>
                <w:color w:val="auto"/>
                <w:kern w:val="0"/>
                <w:sz w:val="24"/>
              </w:rPr>
            </w:pPr>
            <w:r>
              <w:rPr>
                <w:rFonts w:hint="eastAsia"/>
                <w:bCs/>
                <w:snapToGrid w:val="0"/>
                <w:color w:val="auto"/>
                <w:kern w:val="0"/>
                <w:sz w:val="24"/>
              </w:rPr>
              <w:t>为了将项目对区域地下水环境的影响降至最低限度，建议采取以下措施：</w:t>
            </w:r>
          </w:p>
          <w:p w14:paraId="45A438A2">
            <w:pPr>
              <w:spacing w:line="500" w:lineRule="exact"/>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①为了及时准确地掌握厂区及其周围地下水环境质量状况，坚持分区管理和控制，对可能泄漏危险废物的重点污染防控区进行重点监控。</w:t>
            </w:r>
          </w:p>
          <w:p w14:paraId="7BF1A53B">
            <w:pPr>
              <w:spacing w:line="500" w:lineRule="exact"/>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②项目在运行前应编制操作性较强的事故应急预案，组织全厂职工认真学习并实地演习。一旦发生事故排放，可及时查明事故排放原因，做出正确的解决方案，将影响降到最低。</w:t>
            </w:r>
          </w:p>
          <w:p w14:paraId="4C507396">
            <w:pPr>
              <w:rPr>
                <w:color w:val="auto"/>
              </w:rPr>
            </w:pPr>
          </w:p>
          <w:p w14:paraId="5CE2FE28">
            <w:pPr>
              <w:spacing w:line="500" w:lineRule="exact"/>
              <w:ind w:firstLine="482" w:firstLineChars="200"/>
              <w:rPr>
                <w:b/>
                <w:bCs/>
                <w:color w:val="auto"/>
                <w:sz w:val="24"/>
              </w:rPr>
            </w:pPr>
            <w:r>
              <w:rPr>
                <w:rFonts w:hint="eastAsia"/>
                <w:b/>
                <w:bCs/>
                <w:color w:val="auto"/>
                <w:sz w:val="24"/>
              </w:rPr>
              <w:t>2、</w:t>
            </w:r>
            <w:r>
              <w:rPr>
                <w:b/>
                <w:bCs/>
                <w:color w:val="auto"/>
                <w:sz w:val="24"/>
              </w:rPr>
              <w:t>土壤环境影响分析</w:t>
            </w:r>
          </w:p>
          <w:p w14:paraId="17EBB8BE">
            <w:pPr>
              <w:spacing w:line="500" w:lineRule="exact"/>
              <w:ind w:firstLine="480"/>
              <w:rPr>
                <w:snapToGrid w:val="0"/>
                <w:color w:val="auto"/>
                <w:kern w:val="0"/>
                <w:sz w:val="24"/>
              </w:rPr>
            </w:pPr>
            <w:r>
              <w:rPr>
                <w:rFonts w:hint="eastAsia"/>
                <w:snapToGrid w:val="0"/>
                <w:color w:val="auto"/>
                <w:kern w:val="0"/>
                <w:sz w:val="24"/>
              </w:rPr>
              <w:t>根据《环境影响评价技术导则土壤环境（试行）》（</w:t>
            </w:r>
            <w:r>
              <w:rPr>
                <w:snapToGrid w:val="0"/>
                <w:color w:val="auto"/>
                <w:kern w:val="0"/>
                <w:sz w:val="24"/>
              </w:rPr>
              <w:t>HJ964-2018</w:t>
            </w:r>
            <w:r>
              <w:rPr>
                <w:rFonts w:hint="eastAsia"/>
                <w:snapToGrid w:val="0"/>
                <w:color w:val="auto"/>
                <w:kern w:val="0"/>
                <w:sz w:val="24"/>
              </w:rPr>
              <w:t>），建设项目占地规模分为大型（</w:t>
            </w:r>
            <w:r>
              <w:rPr>
                <w:snapToGrid w:val="0"/>
                <w:color w:val="auto"/>
                <w:kern w:val="0"/>
                <w:sz w:val="24"/>
              </w:rPr>
              <w:t>≥50 hm</w:t>
            </w:r>
            <w:r>
              <w:rPr>
                <w:snapToGrid w:val="0"/>
                <w:color w:val="auto"/>
                <w:kern w:val="0"/>
                <w:sz w:val="24"/>
                <w:vertAlign w:val="superscript"/>
              </w:rPr>
              <w:t>2</w:t>
            </w:r>
            <w:r>
              <w:rPr>
                <w:rFonts w:hint="eastAsia"/>
                <w:snapToGrid w:val="0"/>
                <w:color w:val="auto"/>
                <w:kern w:val="0"/>
                <w:sz w:val="24"/>
              </w:rPr>
              <w:t>）、中型（</w:t>
            </w:r>
            <w:r>
              <w:rPr>
                <w:snapToGrid w:val="0"/>
                <w:color w:val="auto"/>
                <w:kern w:val="0"/>
                <w:sz w:val="24"/>
              </w:rPr>
              <w:t>5~50 hm</w:t>
            </w:r>
            <w:r>
              <w:rPr>
                <w:snapToGrid w:val="0"/>
                <w:color w:val="auto"/>
                <w:kern w:val="0"/>
                <w:sz w:val="24"/>
                <w:vertAlign w:val="superscript"/>
              </w:rPr>
              <w:t>2</w:t>
            </w:r>
            <w:r>
              <w:rPr>
                <w:rFonts w:hint="eastAsia"/>
                <w:snapToGrid w:val="0"/>
                <w:color w:val="auto"/>
                <w:kern w:val="0"/>
                <w:sz w:val="24"/>
              </w:rPr>
              <w:t>）、小型（</w:t>
            </w:r>
            <w:r>
              <w:rPr>
                <w:snapToGrid w:val="0"/>
                <w:color w:val="auto"/>
                <w:kern w:val="0"/>
                <w:sz w:val="24"/>
              </w:rPr>
              <w:t>≤5hm</w:t>
            </w:r>
            <w:r>
              <w:rPr>
                <w:snapToGrid w:val="0"/>
                <w:color w:val="auto"/>
                <w:kern w:val="0"/>
                <w:sz w:val="24"/>
                <w:vertAlign w:val="superscript"/>
              </w:rPr>
              <w:t>2</w:t>
            </w:r>
            <w:r>
              <w:rPr>
                <w:rFonts w:hint="eastAsia"/>
                <w:snapToGrid w:val="0"/>
                <w:color w:val="auto"/>
                <w:kern w:val="0"/>
                <w:sz w:val="24"/>
              </w:rPr>
              <w:t>），建设项目占地主要为永久占地，本项目厂区占地约</w:t>
            </w:r>
            <w:r>
              <w:rPr>
                <w:snapToGrid w:val="0"/>
                <w:color w:val="auto"/>
                <w:kern w:val="0"/>
                <w:sz w:val="24"/>
              </w:rPr>
              <w:t>0.</w:t>
            </w:r>
            <w:r>
              <w:rPr>
                <w:rFonts w:hint="eastAsia"/>
                <w:snapToGrid w:val="0"/>
                <w:color w:val="auto"/>
                <w:kern w:val="0"/>
                <w:sz w:val="24"/>
                <w:lang w:val="en-US" w:eastAsia="zh-CN"/>
              </w:rPr>
              <w:t>3</w:t>
            </w:r>
            <w:r>
              <w:rPr>
                <w:snapToGrid w:val="0"/>
                <w:color w:val="auto"/>
                <w:kern w:val="0"/>
                <w:sz w:val="24"/>
              </w:rPr>
              <w:t>hm</w:t>
            </w:r>
            <w:r>
              <w:rPr>
                <w:snapToGrid w:val="0"/>
                <w:color w:val="auto"/>
                <w:kern w:val="0"/>
                <w:sz w:val="24"/>
                <w:vertAlign w:val="superscript"/>
              </w:rPr>
              <w:t>2</w:t>
            </w:r>
            <w:r>
              <w:rPr>
                <w:rFonts w:hint="eastAsia"/>
                <w:snapToGrid w:val="0"/>
                <w:color w:val="auto"/>
                <w:kern w:val="0"/>
                <w:sz w:val="24"/>
              </w:rPr>
              <w:t>，占地规模为小型。</w:t>
            </w:r>
          </w:p>
          <w:p w14:paraId="3BE2575C">
            <w:pPr>
              <w:spacing w:line="500" w:lineRule="exact"/>
              <w:ind w:firstLine="480"/>
              <w:rPr>
                <w:snapToGrid w:val="0"/>
                <w:color w:val="auto"/>
                <w:kern w:val="0"/>
                <w:sz w:val="24"/>
              </w:rPr>
            </w:pPr>
            <w:r>
              <w:rPr>
                <w:rFonts w:hint="eastAsia"/>
                <w:snapToGrid w:val="0"/>
                <w:color w:val="auto"/>
                <w:kern w:val="0"/>
                <w:sz w:val="24"/>
              </w:rPr>
              <w:t>根据《环境影响评价技术导则土壤环境（试行）》（</w:t>
            </w:r>
            <w:r>
              <w:rPr>
                <w:snapToGrid w:val="0"/>
                <w:color w:val="auto"/>
                <w:kern w:val="0"/>
                <w:sz w:val="24"/>
              </w:rPr>
              <w:t>HJ964-2018</w:t>
            </w:r>
            <w:r>
              <w:rPr>
                <w:rFonts w:hint="eastAsia"/>
                <w:snapToGrid w:val="0"/>
                <w:color w:val="auto"/>
                <w:kern w:val="0"/>
                <w:sz w:val="24"/>
              </w:rPr>
              <w:t>）附录</w:t>
            </w:r>
            <w:r>
              <w:rPr>
                <w:snapToGrid w:val="0"/>
                <w:color w:val="auto"/>
                <w:kern w:val="0"/>
                <w:sz w:val="24"/>
              </w:rPr>
              <w:t>A</w:t>
            </w:r>
            <w:r>
              <w:rPr>
                <w:rFonts w:hint="eastAsia"/>
                <w:snapToGrid w:val="0"/>
                <w:color w:val="auto"/>
                <w:kern w:val="0"/>
                <w:sz w:val="24"/>
              </w:rPr>
              <w:t>：表</w:t>
            </w:r>
            <w:r>
              <w:rPr>
                <w:snapToGrid w:val="0"/>
                <w:color w:val="auto"/>
                <w:kern w:val="0"/>
                <w:sz w:val="24"/>
              </w:rPr>
              <w:t>A.1</w:t>
            </w:r>
            <w:r>
              <w:rPr>
                <w:rFonts w:hint="eastAsia"/>
                <w:snapToGrid w:val="0"/>
                <w:color w:val="auto"/>
                <w:kern w:val="0"/>
                <w:sz w:val="24"/>
              </w:rPr>
              <w:t>土壤环境影响评价项目类别，本项目属于</w:t>
            </w:r>
            <w:r>
              <w:rPr>
                <w:snapToGrid w:val="0"/>
                <w:color w:val="auto"/>
                <w:kern w:val="0"/>
                <w:sz w:val="24"/>
              </w:rPr>
              <w:t>“</w:t>
            </w:r>
            <w:r>
              <w:rPr>
                <w:rFonts w:hint="eastAsia"/>
                <w:snapToGrid w:val="0"/>
                <w:color w:val="auto"/>
                <w:kern w:val="0"/>
                <w:sz w:val="24"/>
              </w:rPr>
              <w:t>制造业</w:t>
            </w:r>
            <w:r>
              <w:rPr>
                <w:snapToGrid w:val="0"/>
                <w:color w:val="auto"/>
                <w:kern w:val="0"/>
                <w:sz w:val="24"/>
              </w:rPr>
              <w:t>-</w:t>
            </w:r>
            <w:r>
              <w:rPr>
                <w:rFonts w:hint="eastAsia"/>
                <w:snapToGrid w:val="0"/>
                <w:color w:val="auto"/>
                <w:kern w:val="0"/>
                <w:sz w:val="24"/>
              </w:rPr>
              <w:t>金属冶炼和压延加工及非金属矿物制品</w:t>
            </w:r>
            <w:r>
              <w:rPr>
                <w:snapToGrid w:val="0"/>
                <w:color w:val="auto"/>
                <w:kern w:val="0"/>
                <w:sz w:val="24"/>
              </w:rPr>
              <w:t>-</w:t>
            </w:r>
            <w:r>
              <w:rPr>
                <w:rFonts w:hint="eastAsia"/>
                <w:snapToGrid w:val="0"/>
                <w:color w:val="auto"/>
                <w:kern w:val="0"/>
                <w:sz w:val="24"/>
              </w:rPr>
              <w:t>其他</w:t>
            </w:r>
            <w:r>
              <w:rPr>
                <w:snapToGrid w:val="0"/>
                <w:color w:val="auto"/>
                <w:kern w:val="0"/>
                <w:sz w:val="24"/>
              </w:rPr>
              <w:t>”</w:t>
            </w:r>
            <w:r>
              <w:rPr>
                <w:rFonts w:hint="eastAsia"/>
                <w:snapToGrid w:val="0"/>
                <w:color w:val="auto"/>
                <w:kern w:val="0"/>
                <w:sz w:val="24"/>
              </w:rPr>
              <w:t>属</w:t>
            </w:r>
            <w:r>
              <w:rPr>
                <w:snapToGrid w:val="0"/>
                <w:color w:val="auto"/>
                <w:kern w:val="0"/>
                <w:sz w:val="24"/>
              </w:rPr>
              <w:t>Ⅲ</w:t>
            </w:r>
            <w:r>
              <w:rPr>
                <w:rFonts w:hint="eastAsia"/>
                <w:snapToGrid w:val="0"/>
                <w:color w:val="auto"/>
                <w:kern w:val="0"/>
                <w:sz w:val="24"/>
              </w:rPr>
              <w:t>类项目。本项目的土壤影响类型为污染影响型。</w:t>
            </w:r>
          </w:p>
          <w:p w14:paraId="77F874F6">
            <w:pPr>
              <w:spacing w:line="500" w:lineRule="exact"/>
              <w:ind w:firstLine="480"/>
              <w:rPr>
                <w:snapToGrid w:val="0"/>
                <w:color w:val="auto"/>
                <w:kern w:val="0"/>
                <w:sz w:val="24"/>
              </w:rPr>
            </w:pPr>
            <w:r>
              <w:rPr>
                <w:rFonts w:hint="eastAsia"/>
                <w:snapToGrid w:val="0"/>
                <w:color w:val="auto"/>
                <w:kern w:val="0"/>
                <w:sz w:val="24"/>
              </w:rPr>
              <w:t>根据《环境影响评价技术导则土壤环境（试行）》（</w:t>
            </w:r>
            <w:r>
              <w:rPr>
                <w:snapToGrid w:val="0"/>
                <w:color w:val="auto"/>
                <w:kern w:val="0"/>
                <w:sz w:val="24"/>
              </w:rPr>
              <w:t>HJ964-2018</w:t>
            </w:r>
            <w:r>
              <w:rPr>
                <w:rFonts w:hint="eastAsia"/>
                <w:snapToGrid w:val="0"/>
                <w:color w:val="auto"/>
                <w:kern w:val="0"/>
                <w:sz w:val="24"/>
              </w:rPr>
              <w:t>）表</w:t>
            </w:r>
            <w:r>
              <w:rPr>
                <w:snapToGrid w:val="0"/>
                <w:color w:val="auto"/>
                <w:kern w:val="0"/>
                <w:sz w:val="24"/>
              </w:rPr>
              <w:t>3</w:t>
            </w:r>
            <w:r>
              <w:rPr>
                <w:rFonts w:hint="eastAsia"/>
                <w:snapToGrid w:val="0"/>
                <w:color w:val="auto"/>
                <w:kern w:val="0"/>
                <w:sz w:val="24"/>
              </w:rPr>
              <w:t>污染影响型敏感程度分级表，表</w:t>
            </w:r>
            <w:r>
              <w:rPr>
                <w:snapToGrid w:val="0"/>
                <w:color w:val="auto"/>
                <w:kern w:val="0"/>
                <w:sz w:val="24"/>
              </w:rPr>
              <w:t>5</w:t>
            </w:r>
            <w:r>
              <w:rPr>
                <w:rFonts w:hint="eastAsia"/>
                <w:snapToGrid w:val="0"/>
                <w:color w:val="auto"/>
                <w:kern w:val="0"/>
                <w:sz w:val="24"/>
              </w:rPr>
              <w:t>现状调查范围。</w:t>
            </w:r>
          </w:p>
          <w:p w14:paraId="36468CE9">
            <w:pPr>
              <w:jc w:val="center"/>
              <w:rPr>
                <w:b/>
                <w:color w:val="auto"/>
                <w:kern w:val="24"/>
                <w:sz w:val="24"/>
              </w:rPr>
            </w:pPr>
            <w:r>
              <w:rPr>
                <w:rFonts w:hint="eastAsia"/>
                <w:b/>
                <w:color w:val="auto"/>
                <w:kern w:val="24"/>
                <w:sz w:val="24"/>
              </w:rPr>
              <w:t>表</w:t>
            </w:r>
            <w:r>
              <w:rPr>
                <w:b/>
                <w:color w:val="auto"/>
                <w:kern w:val="24"/>
                <w:sz w:val="24"/>
              </w:rPr>
              <w:t>4-2</w:t>
            </w:r>
            <w:r>
              <w:rPr>
                <w:rFonts w:hint="eastAsia"/>
                <w:b/>
                <w:color w:val="auto"/>
                <w:kern w:val="24"/>
                <w:sz w:val="24"/>
                <w:lang w:val="en-US" w:eastAsia="zh-CN"/>
              </w:rPr>
              <w:t>2</w:t>
            </w:r>
            <w:r>
              <w:rPr>
                <w:b/>
                <w:color w:val="auto"/>
                <w:kern w:val="24"/>
                <w:sz w:val="24"/>
              </w:rPr>
              <w:t xml:space="preserve"> </w:t>
            </w:r>
            <w:r>
              <w:rPr>
                <w:rFonts w:hint="eastAsia"/>
                <w:b/>
                <w:color w:val="auto"/>
                <w:kern w:val="24"/>
                <w:sz w:val="24"/>
              </w:rPr>
              <w:t>污染影响型敏感程度分级表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7899"/>
            </w:tblGrid>
            <w:tr w14:paraId="3B5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tcBorders>
                    <w:top w:val="single" w:color="auto" w:sz="4" w:space="0"/>
                    <w:left w:val="single" w:color="auto" w:sz="4" w:space="0"/>
                    <w:bottom w:val="single" w:color="auto" w:sz="4" w:space="0"/>
                    <w:right w:val="single" w:color="auto" w:sz="4" w:space="0"/>
                  </w:tcBorders>
                  <w:vAlign w:val="center"/>
                </w:tcPr>
                <w:p w14:paraId="52CB944F">
                  <w:pPr>
                    <w:widowControl/>
                    <w:jc w:val="center"/>
                    <w:rPr>
                      <w:snapToGrid w:val="0"/>
                      <w:color w:val="auto"/>
                      <w:kern w:val="0"/>
                      <w:szCs w:val="21"/>
                    </w:rPr>
                  </w:pPr>
                  <w:r>
                    <w:rPr>
                      <w:rFonts w:hint="eastAsia"/>
                      <w:snapToGrid w:val="0"/>
                      <w:color w:val="auto"/>
                      <w:kern w:val="0"/>
                      <w:szCs w:val="21"/>
                    </w:rPr>
                    <w:t>敏感程度</w:t>
                  </w:r>
                </w:p>
              </w:tc>
              <w:tc>
                <w:tcPr>
                  <w:tcW w:w="4171" w:type="pct"/>
                  <w:tcBorders>
                    <w:top w:val="single" w:color="auto" w:sz="4" w:space="0"/>
                    <w:left w:val="single" w:color="auto" w:sz="4" w:space="0"/>
                    <w:bottom w:val="single" w:color="auto" w:sz="4" w:space="0"/>
                    <w:right w:val="single" w:color="auto" w:sz="4" w:space="0"/>
                  </w:tcBorders>
                  <w:vAlign w:val="center"/>
                </w:tcPr>
                <w:p w14:paraId="41D6C9C1">
                  <w:pPr>
                    <w:widowControl/>
                    <w:jc w:val="center"/>
                    <w:rPr>
                      <w:snapToGrid w:val="0"/>
                      <w:color w:val="auto"/>
                      <w:kern w:val="0"/>
                      <w:szCs w:val="21"/>
                    </w:rPr>
                  </w:pPr>
                  <w:r>
                    <w:rPr>
                      <w:rFonts w:hint="eastAsia"/>
                      <w:snapToGrid w:val="0"/>
                      <w:color w:val="auto"/>
                      <w:kern w:val="0"/>
                      <w:szCs w:val="21"/>
                    </w:rPr>
                    <w:t>判别依据</w:t>
                  </w:r>
                </w:p>
              </w:tc>
            </w:tr>
            <w:tr w14:paraId="704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tcBorders>
                    <w:top w:val="single" w:color="auto" w:sz="4" w:space="0"/>
                    <w:left w:val="single" w:color="auto" w:sz="4" w:space="0"/>
                    <w:bottom w:val="single" w:color="auto" w:sz="4" w:space="0"/>
                    <w:right w:val="single" w:color="auto" w:sz="4" w:space="0"/>
                  </w:tcBorders>
                  <w:vAlign w:val="center"/>
                </w:tcPr>
                <w:p w14:paraId="28FB68DD">
                  <w:pPr>
                    <w:widowControl/>
                    <w:jc w:val="center"/>
                    <w:rPr>
                      <w:snapToGrid w:val="0"/>
                      <w:color w:val="auto"/>
                      <w:kern w:val="0"/>
                      <w:szCs w:val="21"/>
                    </w:rPr>
                  </w:pPr>
                  <w:r>
                    <w:rPr>
                      <w:rFonts w:hint="eastAsia"/>
                      <w:snapToGrid w:val="0"/>
                      <w:color w:val="auto"/>
                      <w:kern w:val="0"/>
                      <w:szCs w:val="21"/>
                    </w:rPr>
                    <w:t>敏感</w:t>
                  </w:r>
                </w:p>
              </w:tc>
              <w:tc>
                <w:tcPr>
                  <w:tcW w:w="4171" w:type="pct"/>
                  <w:tcBorders>
                    <w:top w:val="single" w:color="auto" w:sz="4" w:space="0"/>
                    <w:left w:val="single" w:color="auto" w:sz="4" w:space="0"/>
                    <w:bottom w:val="single" w:color="auto" w:sz="4" w:space="0"/>
                    <w:right w:val="single" w:color="auto" w:sz="4" w:space="0"/>
                  </w:tcBorders>
                  <w:vAlign w:val="center"/>
                </w:tcPr>
                <w:p w14:paraId="05FCFD8E">
                  <w:pPr>
                    <w:widowControl/>
                    <w:jc w:val="center"/>
                    <w:rPr>
                      <w:snapToGrid w:val="0"/>
                      <w:color w:val="auto"/>
                      <w:kern w:val="0"/>
                      <w:szCs w:val="21"/>
                    </w:rPr>
                  </w:pPr>
                  <w:r>
                    <w:rPr>
                      <w:rFonts w:hint="eastAsia"/>
                      <w:snapToGrid w:val="0"/>
                      <w:color w:val="auto"/>
                      <w:kern w:val="0"/>
                      <w:szCs w:val="21"/>
                    </w:rPr>
                    <w:t>建设项目周边存在耕地、园地、牧草地、饮用水水源地或居民区、学校、医院、疗养院、养老院等土壤环境敏感目标的</w:t>
                  </w:r>
                </w:p>
              </w:tc>
            </w:tr>
            <w:tr w14:paraId="2D11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tcBorders>
                    <w:top w:val="single" w:color="auto" w:sz="4" w:space="0"/>
                    <w:left w:val="single" w:color="auto" w:sz="4" w:space="0"/>
                    <w:bottom w:val="single" w:color="auto" w:sz="4" w:space="0"/>
                    <w:right w:val="single" w:color="auto" w:sz="4" w:space="0"/>
                  </w:tcBorders>
                  <w:vAlign w:val="center"/>
                </w:tcPr>
                <w:p w14:paraId="06CC619A">
                  <w:pPr>
                    <w:widowControl/>
                    <w:jc w:val="center"/>
                    <w:rPr>
                      <w:snapToGrid w:val="0"/>
                      <w:color w:val="auto"/>
                      <w:kern w:val="0"/>
                      <w:szCs w:val="21"/>
                    </w:rPr>
                  </w:pPr>
                  <w:r>
                    <w:rPr>
                      <w:rFonts w:hint="eastAsia"/>
                      <w:snapToGrid w:val="0"/>
                      <w:color w:val="auto"/>
                      <w:kern w:val="0"/>
                      <w:szCs w:val="21"/>
                    </w:rPr>
                    <w:t>较敏感</w:t>
                  </w:r>
                </w:p>
              </w:tc>
              <w:tc>
                <w:tcPr>
                  <w:tcW w:w="4171" w:type="pct"/>
                  <w:tcBorders>
                    <w:top w:val="single" w:color="auto" w:sz="4" w:space="0"/>
                    <w:left w:val="single" w:color="auto" w:sz="4" w:space="0"/>
                    <w:bottom w:val="single" w:color="auto" w:sz="4" w:space="0"/>
                    <w:right w:val="single" w:color="auto" w:sz="4" w:space="0"/>
                  </w:tcBorders>
                  <w:vAlign w:val="center"/>
                </w:tcPr>
                <w:p w14:paraId="0BC776E4">
                  <w:pPr>
                    <w:widowControl/>
                    <w:jc w:val="center"/>
                    <w:rPr>
                      <w:snapToGrid w:val="0"/>
                      <w:color w:val="auto"/>
                      <w:kern w:val="0"/>
                      <w:szCs w:val="21"/>
                    </w:rPr>
                  </w:pPr>
                  <w:r>
                    <w:rPr>
                      <w:rFonts w:hint="eastAsia"/>
                      <w:snapToGrid w:val="0"/>
                      <w:color w:val="auto"/>
                      <w:kern w:val="0"/>
                      <w:szCs w:val="21"/>
                    </w:rPr>
                    <w:t>建设项目周边存在其他土壤环境敏感目标的</w:t>
                  </w:r>
                </w:p>
              </w:tc>
            </w:tr>
            <w:tr w14:paraId="233D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9" w:type="pct"/>
                  <w:tcBorders>
                    <w:top w:val="single" w:color="auto" w:sz="4" w:space="0"/>
                    <w:left w:val="single" w:color="auto" w:sz="4" w:space="0"/>
                    <w:bottom w:val="single" w:color="auto" w:sz="4" w:space="0"/>
                    <w:right w:val="single" w:color="auto" w:sz="4" w:space="0"/>
                  </w:tcBorders>
                  <w:vAlign w:val="center"/>
                </w:tcPr>
                <w:p w14:paraId="39B755B7">
                  <w:pPr>
                    <w:widowControl/>
                    <w:jc w:val="center"/>
                    <w:rPr>
                      <w:snapToGrid w:val="0"/>
                      <w:color w:val="auto"/>
                      <w:kern w:val="0"/>
                      <w:szCs w:val="21"/>
                    </w:rPr>
                  </w:pPr>
                  <w:r>
                    <w:rPr>
                      <w:rFonts w:hint="eastAsia"/>
                      <w:snapToGrid w:val="0"/>
                      <w:color w:val="auto"/>
                      <w:kern w:val="0"/>
                      <w:szCs w:val="21"/>
                    </w:rPr>
                    <w:t>不敏感</w:t>
                  </w:r>
                </w:p>
              </w:tc>
              <w:tc>
                <w:tcPr>
                  <w:tcW w:w="4171" w:type="pct"/>
                  <w:tcBorders>
                    <w:top w:val="single" w:color="auto" w:sz="4" w:space="0"/>
                    <w:left w:val="single" w:color="auto" w:sz="4" w:space="0"/>
                    <w:bottom w:val="single" w:color="auto" w:sz="4" w:space="0"/>
                    <w:right w:val="single" w:color="auto" w:sz="4" w:space="0"/>
                  </w:tcBorders>
                  <w:vAlign w:val="center"/>
                </w:tcPr>
                <w:p w14:paraId="635D4B49">
                  <w:pPr>
                    <w:widowControl/>
                    <w:jc w:val="center"/>
                    <w:rPr>
                      <w:snapToGrid w:val="0"/>
                      <w:color w:val="auto"/>
                      <w:kern w:val="0"/>
                      <w:szCs w:val="21"/>
                    </w:rPr>
                  </w:pPr>
                  <w:r>
                    <w:rPr>
                      <w:rFonts w:hint="eastAsia"/>
                      <w:snapToGrid w:val="0"/>
                      <w:color w:val="auto"/>
                      <w:kern w:val="0"/>
                      <w:szCs w:val="21"/>
                    </w:rPr>
                    <w:t>其他情况</w:t>
                  </w:r>
                </w:p>
              </w:tc>
            </w:tr>
          </w:tbl>
          <w:p w14:paraId="33C0A6A2">
            <w:pPr>
              <w:spacing w:after="24" w:afterLines="10"/>
              <w:jc w:val="center"/>
              <w:rPr>
                <w:snapToGrid w:val="0"/>
                <w:color w:val="auto"/>
                <w:kern w:val="0"/>
                <w:sz w:val="24"/>
              </w:rPr>
            </w:pPr>
            <w:r>
              <w:rPr>
                <w:rFonts w:hint="eastAsia"/>
                <w:b/>
                <w:bCs/>
                <w:snapToGrid w:val="0"/>
                <w:color w:val="auto"/>
                <w:kern w:val="0"/>
                <w:sz w:val="24"/>
              </w:rPr>
              <w:t>表</w:t>
            </w:r>
            <w:r>
              <w:rPr>
                <w:b/>
                <w:bCs/>
                <w:snapToGrid w:val="0"/>
                <w:color w:val="auto"/>
                <w:kern w:val="0"/>
                <w:sz w:val="24"/>
              </w:rPr>
              <w:t>4-2</w:t>
            </w:r>
            <w:r>
              <w:rPr>
                <w:rFonts w:hint="eastAsia"/>
                <w:b/>
                <w:bCs/>
                <w:snapToGrid w:val="0"/>
                <w:color w:val="auto"/>
                <w:kern w:val="0"/>
                <w:sz w:val="24"/>
                <w:lang w:val="en-US" w:eastAsia="zh-CN"/>
              </w:rPr>
              <w:t>3</w:t>
            </w:r>
            <w:r>
              <w:rPr>
                <w:b/>
                <w:bCs/>
                <w:snapToGrid w:val="0"/>
                <w:color w:val="auto"/>
                <w:kern w:val="0"/>
                <w:sz w:val="24"/>
              </w:rPr>
              <w:t xml:space="preserve"> </w:t>
            </w:r>
            <w:r>
              <w:rPr>
                <w:rFonts w:hint="eastAsia"/>
                <w:b/>
                <w:bCs/>
                <w:snapToGrid w:val="0"/>
                <w:color w:val="auto"/>
                <w:kern w:val="0"/>
                <w:sz w:val="24"/>
              </w:rPr>
              <w:t>污染影响型评价工作等级划分表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751"/>
              <w:gridCol w:w="752"/>
              <w:gridCol w:w="756"/>
              <w:gridCol w:w="752"/>
              <w:gridCol w:w="752"/>
              <w:gridCol w:w="754"/>
              <w:gridCol w:w="752"/>
              <w:gridCol w:w="752"/>
              <w:gridCol w:w="756"/>
            </w:tblGrid>
            <w:tr w14:paraId="4E56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22" w:type="pct"/>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540E63E8">
                  <w:pPr>
                    <w:ind w:right="-197" w:rightChars="-94" w:firstLine="1314" w:firstLineChars="626"/>
                    <w:rPr>
                      <w:snapToGrid w:val="0"/>
                      <w:color w:val="auto"/>
                      <w:kern w:val="0"/>
                      <w:szCs w:val="21"/>
                      <w:lang w:val="en-GB"/>
                    </w:rPr>
                  </w:pPr>
                  <w:r>
                    <w:rPr>
                      <w:rFonts w:hint="eastAsia"/>
                      <w:snapToGrid w:val="0"/>
                      <w:color w:val="auto"/>
                      <w:kern w:val="0"/>
                      <w:szCs w:val="21"/>
                      <w:lang w:val="en-GB"/>
                    </w:rPr>
                    <w:t>评价工作等级</w:t>
                  </w:r>
                </w:p>
                <w:p w14:paraId="33C730DE">
                  <w:pPr>
                    <w:jc w:val="right"/>
                    <w:rPr>
                      <w:snapToGrid w:val="0"/>
                      <w:color w:val="auto"/>
                      <w:kern w:val="0"/>
                      <w:szCs w:val="21"/>
                    </w:rPr>
                  </w:pPr>
                  <w:r>
                    <w:rPr>
                      <w:rFonts w:hint="eastAsia"/>
                      <w:snapToGrid w:val="0"/>
                      <w:color w:val="auto"/>
                      <w:kern w:val="0"/>
                      <w:szCs w:val="21"/>
                      <w:lang w:val="en-GB"/>
                    </w:rPr>
                    <w:t>占地规模</w:t>
                  </w:r>
                </w:p>
                <w:p w14:paraId="3F1DDC92">
                  <w:pPr>
                    <w:rPr>
                      <w:snapToGrid w:val="0"/>
                      <w:color w:val="auto"/>
                      <w:kern w:val="0"/>
                      <w:szCs w:val="21"/>
                      <w:lang w:val="en-GB"/>
                    </w:rPr>
                  </w:pPr>
                  <w:r>
                    <w:rPr>
                      <w:rFonts w:hint="eastAsia"/>
                      <w:snapToGrid w:val="0"/>
                      <w:color w:val="auto"/>
                      <w:kern w:val="0"/>
                      <w:szCs w:val="21"/>
                      <w:lang w:val="en-GB"/>
                    </w:rPr>
                    <w:t>敏感程度</w:t>
                  </w:r>
                </w:p>
              </w:tc>
              <w:tc>
                <w:tcPr>
                  <w:tcW w:w="1193" w:type="pct"/>
                  <w:gridSpan w:val="3"/>
                  <w:tcBorders>
                    <w:top w:val="single" w:color="auto" w:sz="4" w:space="0"/>
                    <w:left w:val="single" w:color="auto" w:sz="4" w:space="0"/>
                    <w:bottom w:val="single" w:color="auto" w:sz="4" w:space="0"/>
                    <w:right w:val="single" w:color="auto" w:sz="4" w:space="0"/>
                  </w:tcBorders>
                  <w:vAlign w:val="center"/>
                </w:tcPr>
                <w:p w14:paraId="4CD6351F">
                  <w:pPr>
                    <w:jc w:val="center"/>
                    <w:rPr>
                      <w:snapToGrid w:val="0"/>
                      <w:color w:val="auto"/>
                      <w:kern w:val="0"/>
                      <w:szCs w:val="21"/>
                      <w:lang w:val="en-GB"/>
                    </w:rPr>
                  </w:pPr>
                  <w:r>
                    <w:rPr>
                      <w:snapToGrid w:val="0"/>
                      <w:color w:val="auto"/>
                      <w:kern w:val="0"/>
                      <w:szCs w:val="21"/>
                      <w:lang w:val="en-GB"/>
                    </w:rPr>
                    <w:t>Ⅰ</w:t>
                  </w:r>
                  <w:r>
                    <w:rPr>
                      <w:rFonts w:hint="eastAsia"/>
                      <w:snapToGrid w:val="0"/>
                      <w:color w:val="auto"/>
                      <w:kern w:val="0"/>
                      <w:szCs w:val="21"/>
                      <w:lang w:val="en-GB"/>
                    </w:rPr>
                    <w:t>类</w:t>
                  </w:r>
                </w:p>
              </w:tc>
              <w:tc>
                <w:tcPr>
                  <w:tcW w:w="1191" w:type="pct"/>
                  <w:gridSpan w:val="3"/>
                  <w:tcBorders>
                    <w:top w:val="single" w:color="auto" w:sz="4" w:space="0"/>
                    <w:left w:val="single" w:color="auto" w:sz="4" w:space="0"/>
                    <w:bottom w:val="single" w:color="auto" w:sz="4" w:space="0"/>
                    <w:right w:val="single" w:color="auto" w:sz="4" w:space="0"/>
                  </w:tcBorders>
                  <w:vAlign w:val="center"/>
                </w:tcPr>
                <w:p w14:paraId="535FF87B">
                  <w:pPr>
                    <w:jc w:val="center"/>
                    <w:rPr>
                      <w:snapToGrid w:val="0"/>
                      <w:color w:val="auto"/>
                      <w:kern w:val="0"/>
                      <w:szCs w:val="21"/>
                      <w:lang w:val="en-GB"/>
                    </w:rPr>
                  </w:pPr>
                  <w:r>
                    <w:rPr>
                      <w:snapToGrid w:val="0"/>
                      <w:color w:val="auto"/>
                      <w:kern w:val="0"/>
                      <w:szCs w:val="21"/>
                      <w:lang w:val="en-GB"/>
                    </w:rPr>
                    <w:t>Ⅱ</w:t>
                  </w:r>
                  <w:r>
                    <w:rPr>
                      <w:rFonts w:hint="eastAsia"/>
                      <w:snapToGrid w:val="0"/>
                      <w:color w:val="auto"/>
                      <w:kern w:val="0"/>
                      <w:szCs w:val="21"/>
                      <w:lang w:val="en-GB"/>
                    </w:rPr>
                    <w:t>类</w:t>
                  </w:r>
                </w:p>
              </w:tc>
              <w:tc>
                <w:tcPr>
                  <w:tcW w:w="1193" w:type="pct"/>
                  <w:gridSpan w:val="3"/>
                  <w:tcBorders>
                    <w:top w:val="single" w:color="auto" w:sz="4" w:space="0"/>
                    <w:left w:val="single" w:color="auto" w:sz="4" w:space="0"/>
                    <w:bottom w:val="single" w:color="auto" w:sz="4" w:space="0"/>
                    <w:right w:val="single" w:color="auto" w:sz="4" w:space="0"/>
                  </w:tcBorders>
                  <w:vAlign w:val="center"/>
                </w:tcPr>
                <w:p w14:paraId="6ED1CEE6">
                  <w:pPr>
                    <w:jc w:val="center"/>
                    <w:rPr>
                      <w:snapToGrid w:val="0"/>
                      <w:color w:val="auto"/>
                      <w:kern w:val="0"/>
                      <w:szCs w:val="21"/>
                      <w:lang w:val="en-GB"/>
                    </w:rPr>
                  </w:pPr>
                  <w:r>
                    <w:rPr>
                      <w:snapToGrid w:val="0"/>
                      <w:color w:val="auto"/>
                      <w:kern w:val="0"/>
                      <w:szCs w:val="21"/>
                      <w:lang w:val="en-GB"/>
                    </w:rPr>
                    <w:t>Ⅲ</w:t>
                  </w:r>
                  <w:r>
                    <w:rPr>
                      <w:rFonts w:hint="eastAsia"/>
                      <w:snapToGrid w:val="0"/>
                      <w:color w:val="auto"/>
                      <w:kern w:val="0"/>
                      <w:szCs w:val="21"/>
                      <w:lang w:val="en-GB"/>
                    </w:rPr>
                    <w:t>类</w:t>
                  </w:r>
                </w:p>
              </w:tc>
            </w:tr>
            <w:tr w14:paraId="3C08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22" w:type="pct"/>
                  <w:vMerge w:val="continue"/>
                  <w:tcBorders>
                    <w:top w:val="single" w:color="auto" w:sz="4" w:space="0"/>
                    <w:left w:val="single" w:color="auto" w:sz="4" w:space="0"/>
                    <w:bottom w:val="single" w:color="auto" w:sz="4" w:space="0"/>
                    <w:right w:val="single" w:color="auto" w:sz="4" w:space="0"/>
                  </w:tcBorders>
                  <w:vAlign w:val="center"/>
                </w:tcPr>
                <w:p w14:paraId="513EB1F4">
                  <w:pPr>
                    <w:widowControl/>
                    <w:jc w:val="left"/>
                    <w:rPr>
                      <w:snapToGrid w:val="0"/>
                      <w:color w:val="auto"/>
                      <w:kern w:val="0"/>
                      <w:szCs w:val="21"/>
                      <w:lang w:val="en-GB"/>
                    </w:rPr>
                  </w:pPr>
                </w:p>
              </w:tc>
              <w:tc>
                <w:tcPr>
                  <w:tcW w:w="397" w:type="pct"/>
                  <w:tcBorders>
                    <w:top w:val="single" w:color="auto" w:sz="4" w:space="0"/>
                    <w:left w:val="single" w:color="auto" w:sz="4" w:space="0"/>
                    <w:bottom w:val="single" w:color="auto" w:sz="4" w:space="0"/>
                    <w:right w:val="single" w:color="auto" w:sz="4" w:space="0"/>
                  </w:tcBorders>
                  <w:vAlign w:val="center"/>
                </w:tcPr>
                <w:p w14:paraId="680B0C4A">
                  <w:pPr>
                    <w:jc w:val="center"/>
                    <w:rPr>
                      <w:snapToGrid w:val="0"/>
                      <w:color w:val="auto"/>
                      <w:kern w:val="0"/>
                      <w:szCs w:val="21"/>
                      <w:lang w:val="en-GB"/>
                    </w:rPr>
                  </w:pPr>
                  <w:r>
                    <w:rPr>
                      <w:rFonts w:hint="eastAsia"/>
                      <w:snapToGrid w:val="0"/>
                      <w:color w:val="auto"/>
                      <w:kern w:val="0"/>
                      <w:szCs w:val="21"/>
                      <w:lang w:val="en-GB"/>
                    </w:rPr>
                    <w:t>大</w:t>
                  </w:r>
                </w:p>
              </w:tc>
              <w:tc>
                <w:tcPr>
                  <w:tcW w:w="397" w:type="pct"/>
                  <w:tcBorders>
                    <w:top w:val="single" w:color="auto" w:sz="4" w:space="0"/>
                    <w:left w:val="single" w:color="auto" w:sz="4" w:space="0"/>
                    <w:bottom w:val="single" w:color="auto" w:sz="4" w:space="0"/>
                    <w:right w:val="single" w:color="auto" w:sz="4" w:space="0"/>
                  </w:tcBorders>
                  <w:vAlign w:val="center"/>
                </w:tcPr>
                <w:p w14:paraId="559D3BD6">
                  <w:pPr>
                    <w:jc w:val="center"/>
                    <w:rPr>
                      <w:snapToGrid w:val="0"/>
                      <w:color w:val="auto"/>
                      <w:kern w:val="0"/>
                      <w:szCs w:val="21"/>
                      <w:lang w:val="en-GB"/>
                    </w:rPr>
                  </w:pPr>
                  <w:r>
                    <w:rPr>
                      <w:rFonts w:hint="eastAsia"/>
                      <w:snapToGrid w:val="0"/>
                      <w:color w:val="auto"/>
                      <w:kern w:val="0"/>
                      <w:szCs w:val="21"/>
                      <w:lang w:val="en-GB"/>
                    </w:rPr>
                    <w:t>中</w:t>
                  </w:r>
                </w:p>
              </w:tc>
              <w:tc>
                <w:tcPr>
                  <w:tcW w:w="399" w:type="pct"/>
                  <w:tcBorders>
                    <w:top w:val="single" w:color="auto" w:sz="4" w:space="0"/>
                    <w:left w:val="single" w:color="auto" w:sz="4" w:space="0"/>
                    <w:bottom w:val="single" w:color="auto" w:sz="4" w:space="0"/>
                    <w:right w:val="single" w:color="auto" w:sz="4" w:space="0"/>
                  </w:tcBorders>
                  <w:vAlign w:val="center"/>
                </w:tcPr>
                <w:p w14:paraId="5C70985B">
                  <w:pPr>
                    <w:jc w:val="center"/>
                    <w:rPr>
                      <w:snapToGrid w:val="0"/>
                      <w:color w:val="auto"/>
                      <w:kern w:val="0"/>
                      <w:szCs w:val="21"/>
                      <w:lang w:val="en-GB"/>
                    </w:rPr>
                  </w:pPr>
                  <w:r>
                    <w:rPr>
                      <w:rFonts w:hint="eastAsia"/>
                      <w:snapToGrid w:val="0"/>
                      <w:color w:val="auto"/>
                      <w:kern w:val="0"/>
                      <w:szCs w:val="21"/>
                      <w:lang w:val="en-GB"/>
                    </w:rPr>
                    <w:t>小</w:t>
                  </w:r>
                </w:p>
              </w:tc>
              <w:tc>
                <w:tcPr>
                  <w:tcW w:w="397" w:type="pct"/>
                  <w:tcBorders>
                    <w:top w:val="single" w:color="auto" w:sz="4" w:space="0"/>
                    <w:left w:val="single" w:color="auto" w:sz="4" w:space="0"/>
                    <w:bottom w:val="single" w:color="auto" w:sz="4" w:space="0"/>
                    <w:right w:val="single" w:color="auto" w:sz="4" w:space="0"/>
                  </w:tcBorders>
                  <w:vAlign w:val="center"/>
                </w:tcPr>
                <w:p w14:paraId="5F0DBEA8">
                  <w:pPr>
                    <w:jc w:val="center"/>
                    <w:rPr>
                      <w:snapToGrid w:val="0"/>
                      <w:color w:val="auto"/>
                      <w:kern w:val="0"/>
                      <w:szCs w:val="21"/>
                      <w:lang w:val="en-GB"/>
                    </w:rPr>
                  </w:pPr>
                  <w:r>
                    <w:rPr>
                      <w:rFonts w:hint="eastAsia"/>
                      <w:snapToGrid w:val="0"/>
                      <w:color w:val="auto"/>
                      <w:kern w:val="0"/>
                      <w:szCs w:val="21"/>
                      <w:lang w:val="en-GB"/>
                    </w:rPr>
                    <w:t>大</w:t>
                  </w:r>
                </w:p>
              </w:tc>
              <w:tc>
                <w:tcPr>
                  <w:tcW w:w="397" w:type="pct"/>
                  <w:tcBorders>
                    <w:top w:val="single" w:color="auto" w:sz="4" w:space="0"/>
                    <w:left w:val="single" w:color="auto" w:sz="4" w:space="0"/>
                    <w:bottom w:val="single" w:color="auto" w:sz="4" w:space="0"/>
                    <w:right w:val="single" w:color="auto" w:sz="4" w:space="0"/>
                  </w:tcBorders>
                  <w:vAlign w:val="center"/>
                </w:tcPr>
                <w:p w14:paraId="0B86EE0C">
                  <w:pPr>
                    <w:jc w:val="center"/>
                    <w:rPr>
                      <w:snapToGrid w:val="0"/>
                      <w:color w:val="auto"/>
                      <w:kern w:val="0"/>
                      <w:szCs w:val="21"/>
                      <w:lang w:val="en-GB"/>
                    </w:rPr>
                  </w:pPr>
                  <w:r>
                    <w:rPr>
                      <w:rFonts w:hint="eastAsia"/>
                      <w:snapToGrid w:val="0"/>
                      <w:color w:val="auto"/>
                      <w:kern w:val="0"/>
                      <w:szCs w:val="21"/>
                      <w:lang w:val="en-GB"/>
                    </w:rPr>
                    <w:t>中</w:t>
                  </w:r>
                </w:p>
              </w:tc>
              <w:tc>
                <w:tcPr>
                  <w:tcW w:w="398" w:type="pct"/>
                  <w:tcBorders>
                    <w:top w:val="single" w:color="auto" w:sz="4" w:space="0"/>
                    <w:left w:val="single" w:color="auto" w:sz="4" w:space="0"/>
                    <w:bottom w:val="single" w:color="auto" w:sz="4" w:space="0"/>
                    <w:right w:val="single" w:color="auto" w:sz="4" w:space="0"/>
                  </w:tcBorders>
                  <w:vAlign w:val="center"/>
                </w:tcPr>
                <w:p w14:paraId="0F171D8D">
                  <w:pPr>
                    <w:jc w:val="center"/>
                    <w:rPr>
                      <w:snapToGrid w:val="0"/>
                      <w:color w:val="auto"/>
                      <w:kern w:val="0"/>
                      <w:szCs w:val="21"/>
                      <w:lang w:val="en-GB"/>
                    </w:rPr>
                  </w:pPr>
                  <w:r>
                    <w:rPr>
                      <w:rFonts w:hint="eastAsia"/>
                      <w:snapToGrid w:val="0"/>
                      <w:color w:val="auto"/>
                      <w:kern w:val="0"/>
                      <w:szCs w:val="21"/>
                      <w:lang w:val="en-GB"/>
                    </w:rPr>
                    <w:t>小</w:t>
                  </w:r>
                </w:p>
              </w:tc>
              <w:tc>
                <w:tcPr>
                  <w:tcW w:w="397" w:type="pct"/>
                  <w:tcBorders>
                    <w:top w:val="single" w:color="auto" w:sz="4" w:space="0"/>
                    <w:left w:val="single" w:color="auto" w:sz="4" w:space="0"/>
                    <w:bottom w:val="single" w:color="auto" w:sz="4" w:space="0"/>
                    <w:right w:val="single" w:color="auto" w:sz="4" w:space="0"/>
                  </w:tcBorders>
                  <w:vAlign w:val="center"/>
                </w:tcPr>
                <w:p w14:paraId="6A2204AD">
                  <w:pPr>
                    <w:jc w:val="center"/>
                    <w:rPr>
                      <w:snapToGrid w:val="0"/>
                      <w:color w:val="auto"/>
                      <w:kern w:val="0"/>
                      <w:szCs w:val="21"/>
                      <w:lang w:val="en-GB"/>
                    </w:rPr>
                  </w:pPr>
                  <w:r>
                    <w:rPr>
                      <w:rFonts w:hint="eastAsia"/>
                      <w:snapToGrid w:val="0"/>
                      <w:color w:val="auto"/>
                      <w:kern w:val="0"/>
                      <w:szCs w:val="21"/>
                      <w:lang w:val="en-GB"/>
                    </w:rPr>
                    <w:t>大</w:t>
                  </w:r>
                </w:p>
              </w:tc>
              <w:tc>
                <w:tcPr>
                  <w:tcW w:w="397" w:type="pct"/>
                  <w:tcBorders>
                    <w:top w:val="single" w:color="auto" w:sz="4" w:space="0"/>
                    <w:left w:val="single" w:color="auto" w:sz="4" w:space="0"/>
                    <w:bottom w:val="single" w:color="auto" w:sz="4" w:space="0"/>
                    <w:right w:val="single" w:color="auto" w:sz="4" w:space="0"/>
                  </w:tcBorders>
                  <w:vAlign w:val="center"/>
                </w:tcPr>
                <w:p w14:paraId="1B47F4F7">
                  <w:pPr>
                    <w:jc w:val="center"/>
                    <w:rPr>
                      <w:snapToGrid w:val="0"/>
                      <w:color w:val="auto"/>
                      <w:kern w:val="0"/>
                      <w:szCs w:val="21"/>
                      <w:lang w:val="en-GB"/>
                    </w:rPr>
                  </w:pPr>
                  <w:r>
                    <w:rPr>
                      <w:rFonts w:hint="eastAsia"/>
                      <w:snapToGrid w:val="0"/>
                      <w:color w:val="auto"/>
                      <w:kern w:val="0"/>
                      <w:szCs w:val="21"/>
                      <w:lang w:val="en-GB"/>
                    </w:rPr>
                    <w:t>中</w:t>
                  </w:r>
                </w:p>
              </w:tc>
              <w:tc>
                <w:tcPr>
                  <w:tcW w:w="399" w:type="pct"/>
                  <w:tcBorders>
                    <w:top w:val="single" w:color="auto" w:sz="4" w:space="0"/>
                    <w:left w:val="single" w:color="auto" w:sz="4" w:space="0"/>
                    <w:bottom w:val="single" w:color="auto" w:sz="4" w:space="0"/>
                    <w:right w:val="single" w:color="auto" w:sz="4" w:space="0"/>
                  </w:tcBorders>
                  <w:vAlign w:val="center"/>
                </w:tcPr>
                <w:p w14:paraId="7425903A">
                  <w:pPr>
                    <w:jc w:val="center"/>
                    <w:rPr>
                      <w:snapToGrid w:val="0"/>
                      <w:color w:val="auto"/>
                      <w:kern w:val="0"/>
                      <w:szCs w:val="21"/>
                      <w:lang w:val="en-GB"/>
                    </w:rPr>
                  </w:pPr>
                  <w:r>
                    <w:rPr>
                      <w:rFonts w:hint="eastAsia"/>
                      <w:snapToGrid w:val="0"/>
                      <w:color w:val="auto"/>
                      <w:kern w:val="0"/>
                      <w:szCs w:val="21"/>
                      <w:lang w:val="en-GB"/>
                    </w:rPr>
                    <w:t>小</w:t>
                  </w:r>
                </w:p>
              </w:tc>
            </w:tr>
            <w:tr w14:paraId="0D10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22" w:type="pct"/>
                  <w:tcBorders>
                    <w:top w:val="single" w:color="auto" w:sz="4" w:space="0"/>
                    <w:left w:val="single" w:color="auto" w:sz="4" w:space="0"/>
                    <w:bottom w:val="single" w:color="auto" w:sz="4" w:space="0"/>
                    <w:right w:val="single" w:color="auto" w:sz="4" w:space="0"/>
                  </w:tcBorders>
                  <w:vAlign w:val="center"/>
                </w:tcPr>
                <w:p w14:paraId="43CF6673">
                  <w:pPr>
                    <w:jc w:val="center"/>
                    <w:rPr>
                      <w:snapToGrid w:val="0"/>
                      <w:color w:val="auto"/>
                      <w:kern w:val="0"/>
                      <w:szCs w:val="21"/>
                      <w:lang w:val="en-GB"/>
                    </w:rPr>
                  </w:pPr>
                  <w:r>
                    <w:rPr>
                      <w:rFonts w:hint="eastAsia"/>
                      <w:snapToGrid w:val="0"/>
                      <w:color w:val="auto"/>
                      <w:kern w:val="0"/>
                      <w:szCs w:val="21"/>
                      <w:lang w:val="en-GB"/>
                    </w:rPr>
                    <w:t>敏感</w:t>
                  </w:r>
                </w:p>
              </w:tc>
              <w:tc>
                <w:tcPr>
                  <w:tcW w:w="397" w:type="pct"/>
                  <w:tcBorders>
                    <w:top w:val="single" w:color="auto" w:sz="4" w:space="0"/>
                    <w:left w:val="single" w:color="auto" w:sz="4" w:space="0"/>
                    <w:bottom w:val="single" w:color="auto" w:sz="4" w:space="0"/>
                    <w:right w:val="single" w:color="auto" w:sz="4" w:space="0"/>
                  </w:tcBorders>
                  <w:vAlign w:val="center"/>
                </w:tcPr>
                <w:p w14:paraId="6CEDA5A7">
                  <w:pPr>
                    <w:jc w:val="center"/>
                    <w:rPr>
                      <w:snapToGrid w:val="0"/>
                      <w:color w:val="auto"/>
                      <w:kern w:val="0"/>
                      <w:szCs w:val="21"/>
                      <w:lang w:val="en-GB"/>
                    </w:rPr>
                  </w:pPr>
                  <w:r>
                    <w:rPr>
                      <w:rFonts w:hint="eastAsia"/>
                      <w:snapToGrid w:val="0"/>
                      <w:color w:val="auto"/>
                      <w:kern w:val="0"/>
                      <w:szCs w:val="21"/>
                      <w:lang w:val="en-GB"/>
                    </w:rPr>
                    <w:t>一级</w:t>
                  </w:r>
                </w:p>
              </w:tc>
              <w:tc>
                <w:tcPr>
                  <w:tcW w:w="397" w:type="pct"/>
                  <w:tcBorders>
                    <w:top w:val="single" w:color="auto" w:sz="4" w:space="0"/>
                    <w:left w:val="single" w:color="auto" w:sz="4" w:space="0"/>
                    <w:bottom w:val="single" w:color="auto" w:sz="4" w:space="0"/>
                    <w:right w:val="single" w:color="auto" w:sz="4" w:space="0"/>
                  </w:tcBorders>
                  <w:vAlign w:val="center"/>
                </w:tcPr>
                <w:p w14:paraId="1F2CD6FF">
                  <w:pPr>
                    <w:jc w:val="center"/>
                    <w:rPr>
                      <w:snapToGrid w:val="0"/>
                      <w:color w:val="auto"/>
                      <w:kern w:val="0"/>
                      <w:szCs w:val="21"/>
                      <w:lang w:val="en-GB"/>
                    </w:rPr>
                  </w:pPr>
                  <w:r>
                    <w:rPr>
                      <w:rFonts w:hint="eastAsia"/>
                      <w:snapToGrid w:val="0"/>
                      <w:color w:val="auto"/>
                      <w:kern w:val="0"/>
                      <w:szCs w:val="21"/>
                      <w:lang w:val="en-GB"/>
                    </w:rPr>
                    <w:t>一级</w:t>
                  </w:r>
                </w:p>
              </w:tc>
              <w:tc>
                <w:tcPr>
                  <w:tcW w:w="399" w:type="pct"/>
                  <w:tcBorders>
                    <w:top w:val="single" w:color="auto" w:sz="4" w:space="0"/>
                    <w:left w:val="single" w:color="auto" w:sz="4" w:space="0"/>
                    <w:bottom w:val="single" w:color="auto" w:sz="4" w:space="0"/>
                    <w:right w:val="single" w:color="auto" w:sz="4" w:space="0"/>
                  </w:tcBorders>
                  <w:vAlign w:val="center"/>
                </w:tcPr>
                <w:p w14:paraId="609D3F99">
                  <w:pPr>
                    <w:jc w:val="center"/>
                    <w:rPr>
                      <w:snapToGrid w:val="0"/>
                      <w:color w:val="auto"/>
                      <w:kern w:val="0"/>
                      <w:szCs w:val="21"/>
                      <w:lang w:val="en-GB"/>
                    </w:rPr>
                  </w:pPr>
                  <w:r>
                    <w:rPr>
                      <w:rFonts w:hint="eastAsia"/>
                      <w:snapToGrid w:val="0"/>
                      <w:color w:val="auto"/>
                      <w:kern w:val="0"/>
                      <w:szCs w:val="21"/>
                      <w:lang w:val="en-GB"/>
                    </w:rPr>
                    <w:t>一级</w:t>
                  </w:r>
                </w:p>
              </w:tc>
              <w:tc>
                <w:tcPr>
                  <w:tcW w:w="397" w:type="pct"/>
                  <w:tcBorders>
                    <w:top w:val="single" w:color="auto" w:sz="4" w:space="0"/>
                    <w:left w:val="single" w:color="auto" w:sz="4" w:space="0"/>
                    <w:bottom w:val="single" w:color="auto" w:sz="4" w:space="0"/>
                    <w:right w:val="single" w:color="auto" w:sz="4" w:space="0"/>
                  </w:tcBorders>
                  <w:vAlign w:val="center"/>
                </w:tcPr>
                <w:p w14:paraId="1D9BF2A7">
                  <w:pPr>
                    <w:jc w:val="center"/>
                    <w:rPr>
                      <w:snapToGrid w:val="0"/>
                      <w:color w:val="auto"/>
                      <w:kern w:val="0"/>
                      <w:szCs w:val="21"/>
                      <w:lang w:val="en-GB"/>
                    </w:rPr>
                  </w:pPr>
                  <w:r>
                    <w:rPr>
                      <w:rFonts w:hint="eastAsia"/>
                      <w:snapToGrid w:val="0"/>
                      <w:color w:val="auto"/>
                      <w:kern w:val="0"/>
                      <w:szCs w:val="21"/>
                      <w:lang w:val="en-GB"/>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271D1518">
                  <w:pPr>
                    <w:jc w:val="center"/>
                    <w:rPr>
                      <w:snapToGrid w:val="0"/>
                      <w:color w:val="auto"/>
                      <w:kern w:val="0"/>
                      <w:szCs w:val="21"/>
                      <w:lang w:val="en-GB"/>
                    </w:rPr>
                  </w:pPr>
                  <w:r>
                    <w:rPr>
                      <w:rFonts w:hint="eastAsia"/>
                      <w:snapToGrid w:val="0"/>
                      <w:color w:val="auto"/>
                      <w:kern w:val="0"/>
                      <w:szCs w:val="21"/>
                      <w:lang w:val="en-GB"/>
                    </w:rPr>
                    <w:t>二级</w:t>
                  </w:r>
                </w:p>
              </w:tc>
              <w:tc>
                <w:tcPr>
                  <w:tcW w:w="398" w:type="pct"/>
                  <w:tcBorders>
                    <w:top w:val="single" w:color="auto" w:sz="4" w:space="0"/>
                    <w:left w:val="single" w:color="auto" w:sz="4" w:space="0"/>
                    <w:bottom w:val="single" w:color="auto" w:sz="4" w:space="0"/>
                    <w:right w:val="single" w:color="auto" w:sz="4" w:space="0"/>
                  </w:tcBorders>
                  <w:vAlign w:val="center"/>
                </w:tcPr>
                <w:p w14:paraId="33B0E116">
                  <w:pPr>
                    <w:jc w:val="center"/>
                    <w:rPr>
                      <w:snapToGrid w:val="0"/>
                      <w:color w:val="auto"/>
                      <w:kern w:val="0"/>
                      <w:szCs w:val="21"/>
                      <w:lang w:val="en-GB"/>
                    </w:rPr>
                  </w:pPr>
                  <w:r>
                    <w:rPr>
                      <w:rFonts w:hint="eastAsia"/>
                      <w:snapToGrid w:val="0"/>
                      <w:color w:val="auto"/>
                      <w:kern w:val="0"/>
                      <w:szCs w:val="21"/>
                      <w:lang w:val="en-GB"/>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4392652D">
                  <w:pPr>
                    <w:jc w:val="center"/>
                    <w:rPr>
                      <w:snapToGrid w:val="0"/>
                      <w:color w:val="auto"/>
                      <w:kern w:val="0"/>
                      <w:szCs w:val="21"/>
                      <w:lang w:val="en-GB"/>
                    </w:rPr>
                  </w:pPr>
                  <w:r>
                    <w:rPr>
                      <w:rFonts w:hint="eastAsia"/>
                      <w:snapToGrid w:val="0"/>
                      <w:color w:val="auto"/>
                      <w:kern w:val="0"/>
                      <w:szCs w:val="21"/>
                      <w:lang w:val="en-GB"/>
                    </w:rPr>
                    <w:t>三级</w:t>
                  </w:r>
                </w:p>
              </w:tc>
              <w:tc>
                <w:tcPr>
                  <w:tcW w:w="397" w:type="pct"/>
                  <w:tcBorders>
                    <w:top w:val="single" w:color="auto" w:sz="4" w:space="0"/>
                    <w:left w:val="single" w:color="auto" w:sz="4" w:space="0"/>
                    <w:bottom w:val="single" w:color="auto" w:sz="4" w:space="0"/>
                    <w:right w:val="single" w:color="auto" w:sz="4" w:space="0"/>
                  </w:tcBorders>
                  <w:vAlign w:val="center"/>
                </w:tcPr>
                <w:p w14:paraId="57BBB091">
                  <w:pPr>
                    <w:jc w:val="center"/>
                    <w:rPr>
                      <w:snapToGrid w:val="0"/>
                      <w:color w:val="auto"/>
                      <w:kern w:val="0"/>
                      <w:szCs w:val="21"/>
                      <w:lang w:val="en-GB"/>
                    </w:rPr>
                  </w:pPr>
                  <w:r>
                    <w:rPr>
                      <w:rFonts w:hint="eastAsia"/>
                      <w:snapToGrid w:val="0"/>
                      <w:color w:val="auto"/>
                      <w:kern w:val="0"/>
                      <w:szCs w:val="21"/>
                      <w:lang w:val="en-GB"/>
                    </w:rPr>
                    <w:t>三级</w:t>
                  </w:r>
                </w:p>
              </w:tc>
              <w:tc>
                <w:tcPr>
                  <w:tcW w:w="399" w:type="pct"/>
                  <w:tcBorders>
                    <w:top w:val="single" w:color="auto" w:sz="4" w:space="0"/>
                    <w:left w:val="single" w:color="auto" w:sz="4" w:space="0"/>
                    <w:bottom w:val="single" w:color="auto" w:sz="4" w:space="0"/>
                    <w:right w:val="single" w:color="auto" w:sz="4" w:space="0"/>
                  </w:tcBorders>
                  <w:vAlign w:val="center"/>
                </w:tcPr>
                <w:p w14:paraId="626F0D35">
                  <w:pPr>
                    <w:jc w:val="center"/>
                    <w:rPr>
                      <w:snapToGrid w:val="0"/>
                      <w:color w:val="auto"/>
                      <w:kern w:val="0"/>
                      <w:szCs w:val="21"/>
                      <w:lang w:val="en-GB"/>
                    </w:rPr>
                  </w:pPr>
                  <w:r>
                    <w:rPr>
                      <w:rFonts w:hint="eastAsia"/>
                      <w:snapToGrid w:val="0"/>
                      <w:color w:val="auto"/>
                      <w:kern w:val="0"/>
                      <w:szCs w:val="21"/>
                      <w:lang w:val="en-GB"/>
                    </w:rPr>
                    <w:t>三级</w:t>
                  </w:r>
                </w:p>
              </w:tc>
            </w:tr>
            <w:tr w14:paraId="2360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22" w:type="pct"/>
                  <w:tcBorders>
                    <w:top w:val="single" w:color="auto" w:sz="4" w:space="0"/>
                    <w:left w:val="single" w:color="auto" w:sz="4" w:space="0"/>
                    <w:bottom w:val="single" w:color="auto" w:sz="4" w:space="0"/>
                    <w:right w:val="single" w:color="auto" w:sz="4" w:space="0"/>
                  </w:tcBorders>
                  <w:vAlign w:val="center"/>
                </w:tcPr>
                <w:p w14:paraId="72E4C30C">
                  <w:pPr>
                    <w:jc w:val="center"/>
                    <w:rPr>
                      <w:snapToGrid w:val="0"/>
                      <w:color w:val="auto"/>
                      <w:kern w:val="0"/>
                      <w:szCs w:val="21"/>
                      <w:lang w:val="en-GB"/>
                    </w:rPr>
                  </w:pPr>
                  <w:r>
                    <w:rPr>
                      <w:rFonts w:hint="eastAsia"/>
                      <w:snapToGrid w:val="0"/>
                      <w:color w:val="auto"/>
                      <w:kern w:val="0"/>
                      <w:szCs w:val="21"/>
                      <w:lang w:val="en-GB"/>
                    </w:rPr>
                    <w:t>较敏感</w:t>
                  </w:r>
                </w:p>
              </w:tc>
              <w:tc>
                <w:tcPr>
                  <w:tcW w:w="397" w:type="pct"/>
                  <w:tcBorders>
                    <w:top w:val="single" w:color="auto" w:sz="4" w:space="0"/>
                    <w:left w:val="single" w:color="auto" w:sz="4" w:space="0"/>
                    <w:bottom w:val="single" w:color="auto" w:sz="4" w:space="0"/>
                    <w:right w:val="single" w:color="auto" w:sz="4" w:space="0"/>
                  </w:tcBorders>
                  <w:vAlign w:val="center"/>
                </w:tcPr>
                <w:p w14:paraId="3F45EE21">
                  <w:pPr>
                    <w:jc w:val="center"/>
                    <w:rPr>
                      <w:snapToGrid w:val="0"/>
                      <w:color w:val="auto"/>
                      <w:kern w:val="0"/>
                      <w:szCs w:val="21"/>
                    </w:rPr>
                  </w:pPr>
                  <w:r>
                    <w:rPr>
                      <w:rFonts w:hint="eastAsia"/>
                      <w:snapToGrid w:val="0"/>
                      <w:color w:val="auto"/>
                      <w:kern w:val="0"/>
                      <w:szCs w:val="21"/>
                      <w:lang w:val="en-GB"/>
                    </w:rPr>
                    <w:t>一级</w:t>
                  </w:r>
                </w:p>
              </w:tc>
              <w:tc>
                <w:tcPr>
                  <w:tcW w:w="397" w:type="pct"/>
                  <w:tcBorders>
                    <w:top w:val="single" w:color="auto" w:sz="4" w:space="0"/>
                    <w:left w:val="single" w:color="auto" w:sz="4" w:space="0"/>
                    <w:bottom w:val="single" w:color="auto" w:sz="4" w:space="0"/>
                    <w:right w:val="single" w:color="auto" w:sz="4" w:space="0"/>
                  </w:tcBorders>
                  <w:vAlign w:val="center"/>
                </w:tcPr>
                <w:p w14:paraId="4E3E046C">
                  <w:pPr>
                    <w:jc w:val="center"/>
                    <w:rPr>
                      <w:snapToGrid w:val="0"/>
                      <w:color w:val="auto"/>
                      <w:kern w:val="0"/>
                      <w:szCs w:val="21"/>
                    </w:rPr>
                  </w:pPr>
                  <w:r>
                    <w:rPr>
                      <w:rFonts w:hint="eastAsia"/>
                      <w:snapToGrid w:val="0"/>
                      <w:color w:val="auto"/>
                      <w:kern w:val="0"/>
                      <w:szCs w:val="21"/>
                      <w:lang w:val="en-GB"/>
                    </w:rPr>
                    <w:t>一级</w:t>
                  </w:r>
                </w:p>
              </w:tc>
              <w:tc>
                <w:tcPr>
                  <w:tcW w:w="399" w:type="pct"/>
                  <w:tcBorders>
                    <w:top w:val="single" w:color="auto" w:sz="4" w:space="0"/>
                    <w:left w:val="single" w:color="auto" w:sz="4" w:space="0"/>
                    <w:bottom w:val="single" w:color="auto" w:sz="4" w:space="0"/>
                    <w:right w:val="single" w:color="auto" w:sz="4" w:space="0"/>
                  </w:tcBorders>
                  <w:vAlign w:val="center"/>
                </w:tcPr>
                <w:p w14:paraId="1675C5F1">
                  <w:pPr>
                    <w:jc w:val="center"/>
                    <w:rPr>
                      <w:snapToGrid w:val="0"/>
                      <w:color w:val="auto"/>
                      <w:kern w:val="0"/>
                      <w:szCs w:val="21"/>
                    </w:rPr>
                  </w:pPr>
                  <w:r>
                    <w:rPr>
                      <w:rFonts w:hint="eastAsia"/>
                      <w:snapToGrid w:val="0"/>
                      <w:color w:val="auto"/>
                      <w:kern w:val="0"/>
                      <w:szCs w:val="21"/>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1604FF74">
                  <w:pPr>
                    <w:jc w:val="center"/>
                    <w:rPr>
                      <w:snapToGrid w:val="0"/>
                      <w:color w:val="auto"/>
                      <w:kern w:val="0"/>
                      <w:szCs w:val="21"/>
                    </w:rPr>
                  </w:pPr>
                  <w:r>
                    <w:rPr>
                      <w:rFonts w:hint="eastAsia"/>
                      <w:snapToGrid w:val="0"/>
                      <w:color w:val="auto"/>
                      <w:kern w:val="0"/>
                      <w:szCs w:val="21"/>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757F4B8E">
                  <w:pPr>
                    <w:jc w:val="center"/>
                    <w:rPr>
                      <w:snapToGrid w:val="0"/>
                      <w:color w:val="auto"/>
                      <w:kern w:val="0"/>
                      <w:szCs w:val="21"/>
                    </w:rPr>
                  </w:pPr>
                  <w:r>
                    <w:rPr>
                      <w:rFonts w:hint="eastAsia"/>
                      <w:snapToGrid w:val="0"/>
                      <w:color w:val="auto"/>
                      <w:kern w:val="0"/>
                      <w:szCs w:val="21"/>
                    </w:rPr>
                    <w:t>二级</w:t>
                  </w:r>
                </w:p>
              </w:tc>
              <w:tc>
                <w:tcPr>
                  <w:tcW w:w="398" w:type="pct"/>
                  <w:tcBorders>
                    <w:top w:val="single" w:color="auto" w:sz="4" w:space="0"/>
                    <w:left w:val="single" w:color="auto" w:sz="4" w:space="0"/>
                    <w:bottom w:val="single" w:color="auto" w:sz="4" w:space="0"/>
                    <w:right w:val="single" w:color="auto" w:sz="4" w:space="0"/>
                  </w:tcBorders>
                  <w:vAlign w:val="center"/>
                </w:tcPr>
                <w:p w14:paraId="2F1D4BA9">
                  <w:pPr>
                    <w:jc w:val="center"/>
                    <w:rPr>
                      <w:snapToGrid w:val="0"/>
                      <w:color w:val="auto"/>
                      <w:kern w:val="0"/>
                      <w:szCs w:val="21"/>
                    </w:rPr>
                  </w:pPr>
                  <w:r>
                    <w:rPr>
                      <w:rFonts w:hint="eastAsia"/>
                      <w:snapToGrid w:val="0"/>
                      <w:color w:val="auto"/>
                      <w:kern w:val="0"/>
                      <w:szCs w:val="21"/>
                      <w:lang w:val="en-GB"/>
                    </w:rPr>
                    <w:t>三级</w:t>
                  </w:r>
                </w:p>
              </w:tc>
              <w:tc>
                <w:tcPr>
                  <w:tcW w:w="397" w:type="pct"/>
                  <w:tcBorders>
                    <w:top w:val="single" w:color="auto" w:sz="4" w:space="0"/>
                    <w:left w:val="single" w:color="auto" w:sz="4" w:space="0"/>
                    <w:bottom w:val="single" w:color="auto" w:sz="4" w:space="0"/>
                    <w:right w:val="single" w:color="auto" w:sz="4" w:space="0"/>
                  </w:tcBorders>
                  <w:vAlign w:val="center"/>
                </w:tcPr>
                <w:p w14:paraId="7333DE24">
                  <w:pPr>
                    <w:jc w:val="center"/>
                    <w:rPr>
                      <w:snapToGrid w:val="0"/>
                      <w:color w:val="auto"/>
                      <w:kern w:val="0"/>
                      <w:szCs w:val="21"/>
                    </w:rPr>
                  </w:pPr>
                  <w:r>
                    <w:rPr>
                      <w:rFonts w:hint="eastAsia"/>
                      <w:snapToGrid w:val="0"/>
                      <w:color w:val="auto"/>
                      <w:kern w:val="0"/>
                      <w:szCs w:val="21"/>
                      <w:lang w:val="en-GB"/>
                    </w:rPr>
                    <w:t>三级</w:t>
                  </w:r>
                </w:p>
              </w:tc>
              <w:tc>
                <w:tcPr>
                  <w:tcW w:w="397" w:type="pct"/>
                  <w:tcBorders>
                    <w:top w:val="single" w:color="auto" w:sz="4" w:space="0"/>
                    <w:left w:val="single" w:color="auto" w:sz="4" w:space="0"/>
                    <w:bottom w:val="single" w:color="auto" w:sz="4" w:space="0"/>
                    <w:right w:val="single" w:color="auto" w:sz="4" w:space="0"/>
                  </w:tcBorders>
                  <w:vAlign w:val="center"/>
                </w:tcPr>
                <w:p w14:paraId="2042F09B">
                  <w:pPr>
                    <w:jc w:val="center"/>
                    <w:rPr>
                      <w:snapToGrid w:val="0"/>
                      <w:color w:val="auto"/>
                      <w:kern w:val="0"/>
                      <w:szCs w:val="21"/>
                    </w:rPr>
                  </w:pPr>
                  <w:r>
                    <w:rPr>
                      <w:rFonts w:hint="eastAsia"/>
                      <w:snapToGrid w:val="0"/>
                      <w:color w:val="auto"/>
                      <w:kern w:val="0"/>
                      <w:szCs w:val="21"/>
                      <w:lang w:val="en-GB"/>
                    </w:rPr>
                    <w:t>三级</w:t>
                  </w:r>
                </w:p>
              </w:tc>
              <w:tc>
                <w:tcPr>
                  <w:tcW w:w="399" w:type="pct"/>
                  <w:tcBorders>
                    <w:top w:val="single" w:color="auto" w:sz="4" w:space="0"/>
                    <w:left w:val="single" w:color="auto" w:sz="4" w:space="0"/>
                    <w:bottom w:val="single" w:color="auto" w:sz="4" w:space="0"/>
                    <w:right w:val="single" w:color="auto" w:sz="4" w:space="0"/>
                  </w:tcBorders>
                  <w:vAlign w:val="center"/>
                </w:tcPr>
                <w:p w14:paraId="32D3F8C1">
                  <w:pPr>
                    <w:jc w:val="center"/>
                    <w:rPr>
                      <w:snapToGrid w:val="0"/>
                      <w:color w:val="auto"/>
                      <w:kern w:val="0"/>
                      <w:szCs w:val="21"/>
                    </w:rPr>
                  </w:pPr>
                  <w:r>
                    <w:rPr>
                      <w:snapToGrid w:val="0"/>
                      <w:color w:val="auto"/>
                      <w:kern w:val="0"/>
                      <w:szCs w:val="21"/>
                    </w:rPr>
                    <w:t>—</w:t>
                  </w:r>
                </w:p>
              </w:tc>
            </w:tr>
            <w:tr w14:paraId="4A16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22" w:type="pct"/>
                  <w:tcBorders>
                    <w:top w:val="single" w:color="auto" w:sz="4" w:space="0"/>
                    <w:left w:val="single" w:color="auto" w:sz="4" w:space="0"/>
                    <w:bottom w:val="single" w:color="auto" w:sz="4" w:space="0"/>
                    <w:right w:val="single" w:color="auto" w:sz="4" w:space="0"/>
                  </w:tcBorders>
                  <w:vAlign w:val="center"/>
                </w:tcPr>
                <w:p w14:paraId="6D5040CE">
                  <w:pPr>
                    <w:jc w:val="center"/>
                    <w:rPr>
                      <w:snapToGrid w:val="0"/>
                      <w:color w:val="auto"/>
                      <w:kern w:val="0"/>
                      <w:szCs w:val="21"/>
                      <w:lang w:val="en-GB"/>
                    </w:rPr>
                  </w:pPr>
                  <w:r>
                    <w:rPr>
                      <w:rFonts w:hint="eastAsia"/>
                      <w:snapToGrid w:val="0"/>
                      <w:color w:val="auto"/>
                      <w:kern w:val="0"/>
                      <w:szCs w:val="21"/>
                      <w:lang w:val="en-GB"/>
                    </w:rPr>
                    <w:t>不敏感</w:t>
                  </w:r>
                </w:p>
              </w:tc>
              <w:tc>
                <w:tcPr>
                  <w:tcW w:w="397" w:type="pct"/>
                  <w:tcBorders>
                    <w:top w:val="single" w:color="auto" w:sz="4" w:space="0"/>
                    <w:left w:val="single" w:color="auto" w:sz="4" w:space="0"/>
                    <w:bottom w:val="single" w:color="auto" w:sz="4" w:space="0"/>
                    <w:right w:val="single" w:color="auto" w:sz="4" w:space="0"/>
                  </w:tcBorders>
                  <w:vAlign w:val="center"/>
                </w:tcPr>
                <w:p w14:paraId="057719EA">
                  <w:pPr>
                    <w:jc w:val="center"/>
                    <w:rPr>
                      <w:snapToGrid w:val="0"/>
                      <w:color w:val="auto"/>
                      <w:kern w:val="0"/>
                      <w:szCs w:val="21"/>
                    </w:rPr>
                  </w:pPr>
                  <w:r>
                    <w:rPr>
                      <w:rFonts w:hint="eastAsia"/>
                      <w:snapToGrid w:val="0"/>
                      <w:color w:val="auto"/>
                      <w:kern w:val="0"/>
                      <w:szCs w:val="21"/>
                    </w:rPr>
                    <w:t>一级</w:t>
                  </w:r>
                </w:p>
              </w:tc>
              <w:tc>
                <w:tcPr>
                  <w:tcW w:w="397" w:type="pct"/>
                  <w:tcBorders>
                    <w:top w:val="single" w:color="auto" w:sz="4" w:space="0"/>
                    <w:left w:val="single" w:color="auto" w:sz="4" w:space="0"/>
                    <w:bottom w:val="single" w:color="auto" w:sz="4" w:space="0"/>
                    <w:right w:val="single" w:color="auto" w:sz="4" w:space="0"/>
                  </w:tcBorders>
                  <w:vAlign w:val="center"/>
                </w:tcPr>
                <w:p w14:paraId="5E4CFD91">
                  <w:pPr>
                    <w:jc w:val="center"/>
                    <w:rPr>
                      <w:snapToGrid w:val="0"/>
                      <w:color w:val="auto"/>
                      <w:kern w:val="0"/>
                      <w:szCs w:val="21"/>
                    </w:rPr>
                  </w:pPr>
                  <w:r>
                    <w:rPr>
                      <w:rFonts w:hint="eastAsia"/>
                      <w:snapToGrid w:val="0"/>
                      <w:color w:val="auto"/>
                      <w:kern w:val="0"/>
                      <w:szCs w:val="21"/>
                    </w:rPr>
                    <w:t>二级</w:t>
                  </w:r>
                </w:p>
              </w:tc>
              <w:tc>
                <w:tcPr>
                  <w:tcW w:w="399" w:type="pct"/>
                  <w:tcBorders>
                    <w:top w:val="single" w:color="auto" w:sz="4" w:space="0"/>
                    <w:left w:val="single" w:color="auto" w:sz="4" w:space="0"/>
                    <w:bottom w:val="single" w:color="auto" w:sz="4" w:space="0"/>
                    <w:right w:val="single" w:color="auto" w:sz="4" w:space="0"/>
                  </w:tcBorders>
                  <w:vAlign w:val="center"/>
                </w:tcPr>
                <w:p w14:paraId="2DBC3E80">
                  <w:pPr>
                    <w:jc w:val="center"/>
                    <w:rPr>
                      <w:snapToGrid w:val="0"/>
                      <w:color w:val="auto"/>
                      <w:kern w:val="0"/>
                      <w:szCs w:val="21"/>
                    </w:rPr>
                  </w:pPr>
                  <w:r>
                    <w:rPr>
                      <w:rFonts w:hint="eastAsia"/>
                      <w:snapToGrid w:val="0"/>
                      <w:color w:val="auto"/>
                      <w:kern w:val="0"/>
                      <w:szCs w:val="21"/>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272B30D6">
                  <w:pPr>
                    <w:jc w:val="center"/>
                    <w:rPr>
                      <w:snapToGrid w:val="0"/>
                      <w:color w:val="auto"/>
                      <w:kern w:val="0"/>
                      <w:szCs w:val="21"/>
                    </w:rPr>
                  </w:pPr>
                  <w:r>
                    <w:rPr>
                      <w:rFonts w:hint="eastAsia"/>
                      <w:snapToGrid w:val="0"/>
                      <w:color w:val="auto"/>
                      <w:kern w:val="0"/>
                      <w:szCs w:val="21"/>
                    </w:rPr>
                    <w:t>二级</w:t>
                  </w:r>
                </w:p>
              </w:tc>
              <w:tc>
                <w:tcPr>
                  <w:tcW w:w="397" w:type="pct"/>
                  <w:tcBorders>
                    <w:top w:val="single" w:color="auto" w:sz="4" w:space="0"/>
                    <w:left w:val="single" w:color="auto" w:sz="4" w:space="0"/>
                    <w:bottom w:val="single" w:color="auto" w:sz="4" w:space="0"/>
                    <w:right w:val="single" w:color="auto" w:sz="4" w:space="0"/>
                  </w:tcBorders>
                  <w:vAlign w:val="center"/>
                </w:tcPr>
                <w:p w14:paraId="7DE791FE">
                  <w:pPr>
                    <w:jc w:val="center"/>
                    <w:rPr>
                      <w:snapToGrid w:val="0"/>
                      <w:color w:val="auto"/>
                      <w:kern w:val="0"/>
                      <w:szCs w:val="21"/>
                    </w:rPr>
                  </w:pPr>
                  <w:r>
                    <w:rPr>
                      <w:rFonts w:hint="eastAsia"/>
                      <w:snapToGrid w:val="0"/>
                      <w:color w:val="auto"/>
                      <w:kern w:val="0"/>
                      <w:szCs w:val="21"/>
                    </w:rPr>
                    <w:t>三级</w:t>
                  </w:r>
                </w:p>
              </w:tc>
              <w:tc>
                <w:tcPr>
                  <w:tcW w:w="398" w:type="pct"/>
                  <w:tcBorders>
                    <w:top w:val="single" w:color="auto" w:sz="4" w:space="0"/>
                    <w:left w:val="single" w:color="auto" w:sz="4" w:space="0"/>
                    <w:bottom w:val="single" w:color="auto" w:sz="4" w:space="0"/>
                    <w:right w:val="single" w:color="auto" w:sz="4" w:space="0"/>
                  </w:tcBorders>
                  <w:vAlign w:val="center"/>
                </w:tcPr>
                <w:p w14:paraId="1235865A">
                  <w:pPr>
                    <w:jc w:val="center"/>
                    <w:rPr>
                      <w:snapToGrid w:val="0"/>
                      <w:color w:val="auto"/>
                      <w:kern w:val="0"/>
                      <w:szCs w:val="21"/>
                    </w:rPr>
                  </w:pPr>
                  <w:r>
                    <w:rPr>
                      <w:rFonts w:hint="eastAsia"/>
                      <w:snapToGrid w:val="0"/>
                      <w:color w:val="auto"/>
                      <w:kern w:val="0"/>
                      <w:szCs w:val="21"/>
                    </w:rPr>
                    <w:t>三级</w:t>
                  </w:r>
                </w:p>
              </w:tc>
              <w:tc>
                <w:tcPr>
                  <w:tcW w:w="397" w:type="pct"/>
                  <w:tcBorders>
                    <w:top w:val="single" w:color="auto" w:sz="4" w:space="0"/>
                    <w:left w:val="single" w:color="auto" w:sz="4" w:space="0"/>
                    <w:bottom w:val="single" w:color="auto" w:sz="4" w:space="0"/>
                    <w:right w:val="single" w:color="auto" w:sz="4" w:space="0"/>
                  </w:tcBorders>
                  <w:vAlign w:val="center"/>
                </w:tcPr>
                <w:p w14:paraId="76D6D17F">
                  <w:pPr>
                    <w:jc w:val="center"/>
                    <w:rPr>
                      <w:snapToGrid w:val="0"/>
                      <w:color w:val="auto"/>
                      <w:kern w:val="0"/>
                      <w:szCs w:val="21"/>
                    </w:rPr>
                  </w:pPr>
                  <w:r>
                    <w:rPr>
                      <w:rFonts w:hint="eastAsia"/>
                      <w:snapToGrid w:val="0"/>
                      <w:color w:val="auto"/>
                      <w:kern w:val="0"/>
                      <w:szCs w:val="21"/>
                    </w:rPr>
                    <w:t>三级</w:t>
                  </w:r>
                </w:p>
              </w:tc>
              <w:tc>
                <w:tcPr>
                  <w:tcW w:w="397" w:type="pct"/>
                  <w:tcBorders>
                    <w:top w:val="single" w:color="auto" w:sz="4" w:space="0"/>
                    <w:left w:val="single" w:color="auto" w:sz="4" w:space="0"/>
                    <w:bottom w:val="single" w:color="auto" w:sz="4" w:space="0"/>
                    <w:right w:val="single" w:color="auto" w:sz="4" w:space="0"/>
                  </w:tcBorders>
                  <w:vAlign w:val="center"/>
                </w:tcPr>
                <w:p w14:paraId="1B5EAF50">
                  <w:pPr>
                    <w:jc w:val="center"/>
                    <w:rPr>
                      <w:snapToGrid w:val="0"/>
                      <w:color w:val="auto"/>
                      <w:kern w:val="0"/>
                      <w:szCs w:val="21"/>
                    </w:rPr>
                  </w:pPr>
                  <w:r>
                    <w:rPr>
                      <w:snapToGrid w:val="0"/>
                      <w:color w:val="auto"/>
                      <w:kern w:val="0"/>
                      <w:szCs w:val="21"/>
                    </w:rPr>
                    <w:t>—</w:t>
                  </w:r>
                </w:p>
              </w:tc>
              <w:tc>
                <w:tcPr>
                  <w:tcW w:w="399" w:type="pct"/>
                  <w:tcBorders>
                    <w:top w:val="single" w:color="auto" w:sz="4" w:space="0"/>
                    <w:left w:val="single" w:color="auto" w:sz="4" w:space="0"/>
                    <w:bottom w:val="single" w:color="auto" w:sz="4" w:space="0"/>
                    <w:right w:val="single" w:color="auto" w:sz="4" w:space="0"/>
                  </w:tcBorders>
                  <w:shd w:val="clear" w:color="auto" w:fill="FFFF00"/>
                  <w:vAlign w:val="center"/>
                </w:tcPr>
                <w:p w14:paraId="13B69A6E">
                  <w:pPr>
                    <w:jc w:val="center"/>
                    <w:rPr>
                      <w:snapToGrid w:val="0"/>
                      <w:color w:val="auto"/>
                      <w:kern w:val="0"/>
                      <w:szCs w:val="21"/>
                    </w:rPr>
                  </w:pPr>
                  <w:r>
                    <w:rPr>
                      <w:snapToGrid w:val="0"/>
                      <w:color w:val="auto"/>
                      <w:kern w:val="0"/>
                      <w:szCs w:val="21"/>
                    </w:rPr>
                    <w:t>—</w:t>
                  </w:r>
                </w:p>
              </w:tc>
            </w:tr>
            <w:tr w14:paraId="03B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15C144C">
                  <w:pPr>
                    <w:jc w:val="center"/>
                    <w:rPr>
                      <w:snapToGrid w:val="0"/>
                      <w:color w:val="auto"/>
                      <w:kern w:val="0"/>
                      <w:szCs w:val="21"/>
                    </w:rPr>
                  </w:pPr>
                  <w:r>
                    <w:rPr>
                      <w:rFonts w:hint="eastAsia"/>
                      <w:snapToGrid w:val="0"/>
                      <w:color w:val="auto"/>
                      <w:kern w:val="0"/>
                      <w:szCs w:val="21"/>
                    </w:rPr>
                    <w:t>注：</w:t>
                  </w:r>
                  <w:r>
                    <w:rPr>
                      <w:snapToGrid w:val="0"/>
                      <w:color w:val="auto"/>
                      <w:kern w:val="0"/>
                      <w:szCs w:val="21"/>
                    </w:rPr>
                    <w:t>“—”</w:t>
                  </w:r>
                  <w:r>
                    <w:rPr>
                      <w:rFonts w:hint="eastAsia"/>
                      <w:snapToGrid w:val="0"/>
                      <w:color w:val="auto"/>
                      <w:kern w:val="0"/>
                      <w:szCs w:val="21"/>
                    </w:rPr>
                    <w:t>表示可不开展环境影响评价工作。</w:t>
                  </w:r>
                </w:p>
              </w:tc>
            </w:tr>
          </w:tbl>
          <w:p w14:paraId="78A9ECB5">
            <w:pPr>
              <w:spacing w:line="500" w:lineRule="atLeast"/>
              <w:ind w:firstLine="480"/>
              <w:rPr>
                <w:snapToGrid w:val="0"/>
                <w:color w:val="auto"/>
                <w:kern w:val="0"/>
                <w:sz w:val="24"/>
              </w:rPr>
            </w:pPr>
            <w:r>
              <w:rPr>
                <w:rFonts w:hint="eastAsia"/>
                <w:snapToGrid w:val="0"/>
                <w:color w:val="auto"/>
                <w:kern w:val="0"/>
                <w:sz w:val="24"/>
              </w:rPr>
              <w:t>本项目位于安徽省蚌埠市龙子湖</w:t>
            </w:r>
            <w:r>
              <w:rPr>
                <w:rFonts w:hint="eastAsia"/>
                <w:snapToGrid w:val="0"/>
                <w:color w:val="auto"/>
                <w:kern w:val="0"/>
                <w:sz w:val="24"/>
                <w:lang w:val="en-US" w:eastAsia="zh-CN"/>
              </w:rPr>
              <w:t>胜利东路9号</w:t>
            </w:r>
            <w:r>
              <w:rPr>
                <w:rFonts w:hint="eastAsia"/>
                <w:snapToGrid w:val="0"/>
                <w:color w:val="auto"/>
                <w:kern w:val="0"/>
                <w:sz w:val="24"/>
              </w:rPr>
              <w:t>，项目无生产废水排放，生活污水经化粪池处理处理后排入市政污水管网进入蚌埠市第二污水处理厂处理；项目对危废库进行了重点防渗，经垂直下渗对土壤产生影响的可能性极小；项目排放大气污染物主要为颗粒物、甲苯、二甲苯。非甲烷总烃，且排放量较小，经大气沉降对项目周边环境影响较小。结合项目所在地的气象条件、地形地貌、水文地质条件，判定项目土壤环境敏感程度为不敏感。</w:t>
            </w:r>
          </w:p>
          <w:p w14:paraId="0FD7B5B5">
            <w:pPr>
              <w:spacing w:line="500" w:lineRule="atLeast"/>
              <w:ind w:firstLine="480"/>
              <w:rPr>
                <w:snapToGrid w:val="0"/>
                <w:color w:val="auto"/>
                <w:kern w:val="0"/>
                <w:sz w:val="24"/>
              </w:rPr>
            </w:pPr>
            <w:r>
              <w:rPr>
                <w:rFonts w:hint="eastAsia"/>
                <w:snapToGrid w:val="0"/>
                <w:color w:val="auto"/>
                <w:kern w:val="0"/>
                <w:sz w:val="24"/>
              </w:rPr>
              <w:t>综上，本项目可不开展土壤环境影响评价工作。</w:t>
            </w:r>
          </w:p>
          <w:p w14:paraId="4FF5DDA2">
            <w:pPr>
              <w:spacing w:line="500" w:lineRule="atLeast"/>
              <w:ind w:firstLine="482" w:firstLineChars="200"/>
              <w:rPr>
                <w:rFonts w:eastAsia="Times New Roman"/>
                <w:b/>
                <w:bCs/>
                <w:color w:val="auto"/>
                <w:sz w:val="24"/>
              </w:rPr>
            </w:pPr>
            <w:r>
              <w:rPr>
                <w:rFonts w:hint="eastAsia" w:ascii="宋体" w:hAnsi="宋体"/>
                <w:b/>
                <w:bCs/>
                <w:color w:val="auto"/>
                <w:sz w:val="24"/>
              </w:rPr>
              <w:t>六</w:t>
            </w:r>
            <w:r>
              <w:rPr>
                <w:rFonts w:hint="eastAsia" w:ascii="宋体" w:hAnsi="宋体" w:cs="宋体"/>
                <w:b/>
                <w:bCs/>
                <w:color w:val="auto"/>
                <w:sz w:val="24"/>
              </w:rPr>
              <w:t>、生态环境</w:t>
            </w:r>
          </w:p>
          <w:p w14:paraId="1D61BA07">
            <w:pPr>
              <w:spacing w:line="500" w:lineRule="atLeast"/>
              <w:ind w:firstLine="480"/>
              <w:rPr>
                <w:rFonts w:hAnsi="宋体"/>
                <w:color w:val="auto"/>
                <w:sz w:val="24"/>
              </w:rPr>
            </w:pPr>
            <w:r>
              <w:rPr>
                <w:rFonts w:hint="eastAsia" w:hAnsi="宋体"/>
                <w:color w:val="auto"/>
                <w:sz w:val="24"/>
              </w:rPr>
              <w:t>本项目位于</w:t>
            </w:r>
            <w:r>
              <w:rPr>
                <w:rFonts w:hint="eastAsia"/>
                <w:color w:val="auto"/>
                <w:sz w:val="24"/>
              </w:rPr>
              <w:t>安徽省蚌埠市龙子湖区</w:t>
            </w:r>
            <w:r>
              <w:rPr>
                <w:rFonts w:hint="eastAsia"/>
                <w:color w:val="auto"/>
                <w:sz w:val="24"/>
                <w:lang w:val="en-US" w:eastAsia="zh-CN"/>
              </w:rPr>
              <w:t>胜利东路9号</w:t>
            </w:r>
            <w:r>
              <w:rPr>
                <w:rFonts w:hint="eastAsia" w:hAnsi="宋体"/>
                <w:color w:val="auto"/>
                <w:sz w:val="24"/>
              </w:rPr>
              <w:t>，用地范围内无生态环境保护目标。</w:t>
            </w:r>
          </w:p>
          <w:p w14:paraId="76EA9B56">
            <w:pPr>
              <w:spacing w:line="500" w:lineRule="exact"/>
              <w:ind w:firstLine="482" w:firstLineChars="200"/>
              <w:rPr>
                <w:b/>
                <w:bCs/>
                <w:snapToGrid w:val="0"/>
                <w:color w:val="auto"/>
                <w:kern w:val="0"/>
                <w:sz w:val="24"/>
              </w:rPr>
            </w:pPr>
            <w:r>
              <w:rPr>
                <w:rFonts w:hint="eastAsia"/>
                <w:b/>
                <w:bCs/>
                <w:color w:val="auto"/>
                <w:sz w:val="24"/>
              </w:rPr>
              <w:t>七、环境</w:t>
            </w:r>
            <w:r>
              <w:rPr>
                <w:b/>
                <w:bCs/>
                <w:snapToGrid w:val="0"/>
                <w:color w:val="auto"/>
                <w:kern w:val="0"/>
                <w:sz w:val="24"/>
              </w:rPr>
              <w:t>风险评价分析</w:t>
            </w:r>
          </w:p>
          <w:p w14:paraId="6E0771E9">
            <w:pPr>
              <w:spacing w:line="500" w:lineRule="exact"/>
              <w:ind w:firstLine="480" w:firstLineChars="200"/>
              <w:jc w:val="left"/>
              <w:rPr>
                <w:snapToGrid w:val="0"/>
                <w:color w:val="auto"/>
                <w:kern w:val="0"/>
                <w:sz w:val="24"/>
              </w:rPr>
            </w:pPr>
            <w:r>
              <w:rPr>
                <w:rFonts w:hint="eastAsia"/>
                <w:snapToGrid w:val="0"/>
                <w:color w:val="auto"/>
                <w:kern w:val="0"/>
                <w:sz w:val="24"/>
              </w:rPr>
              <w:t>1、评价依据</w:t>
            </w:r>
          </w:p>
          <w:p w14:paraId="66381FEE">
            <w:pPr>
              <w:spacing w:line="500" w:lineRule="exact"/>
              <w:ind w:firstLine="480"/>
              <w:rPr>
                <w:snapToGrid w:val="0"/>
                <w:color w:val="auto"/>
                <w:kern w:val="0"/>
                <w:sz w:val="24"/>
              </w:rPr>
            </w:pPr>
            <w:r>
              <w:rPr>
                <w:snapToGrid w:val="0"/>
                <w:color w:val="auto"/>
                <w:kern w:val="0"/>
                <w:sz w:val="24"/>
              </w:rPr>
              <w:t>根据《建设项目环境风险评价技术导则》（HJ169-2018</w:t>
            </w:r>
            <w:r>
              <w:rPr>
                <w:rFonts w:hint="eastAsia"/>
                <w:snapToGrid w:val="0"/>
                <w:color w:val="auto"/>
                <w:kern w:val="0"/>
                <w:sz w:val="24"/>
              </w:rPr>
              <w:t>），</w:t>
            </w:r>
            <w:r>
              <w:rPr>
                <w:snapToGrid w:val="0"/>
                <w:color w:val="auto"/>
                <w:kern w:val="0"/>
                <w:sz w:val="24"/>
              </w:rPr>
              <w:t>环境风险评价工作分为一级</w:t>
            </w:r>
            <w:r>
              <w:rPr>
                <w:rFonts w:hint="eastAsia"/>
                <w:snapToGrid w:val="0"/>
                <w:color w:val="auto"/>
                <w:kern w:val="0"/>
                <w:sz w:val="24"/>
              </w:rPr>
              <w:t>、二级、三级。根据建设项目涉及的物质及工艺系统危险性和所在地环境敏感性确定环境风险潜势。</w:t>
            </w:r>
          </w:p>
          <w:p w14:paraId="3C00BE54">
            <w:pPr>
              <w:spacing w:after="24" w:afterLines="10"/>
              <w:jc w:val="center"/>
              <w:rPr>
                <w:b/>
                <w:bCs/>
                <w:snapToGrid w:val="0"/>
                <w:color w:val="auto"/>
                <w:kern w:val="0"/>
                <w:sz w:val="24"/>
              </w:rPr>
            </w:pPr>
            <w:r>
              <w:rPr>
                <w:b/>
                <w:bCs/>
                <w:snapToGrid w:val="0"/>
                <w:color w:val="auto"/>
                <w:kern w:val="0"/>
                <w:sz w:val="24"/>
              </w:rPr>
              <w:t>表4-2</w:t>
            </w:r>
            <w:r>
              <w:rPr>
                <w:rFonts w:hint="eastAsia"/>
                <w:b/>
                <w:bCs/>
                <w:snapToGrid w:val="0"/>
                <w:color w:val="auto"/>
                <w:kern w:val="0"/>
                <w:sz w:val="24"/>
                <w:lang w:val="en-US" w:eastAsia="zh-CN"/>
              </w:rPr>
              <w:t>4</w:t>
            </w:r>
            <w:r>
              <w:rPr>
                <w:b/>
                <w:bCs/>
                <w:snapToGrid w:val="0"/>
                <w:color w:val="auto"/>
                <w:kern w:val="0"/>
                <w:sz w:val="24"/>
              </w:rPr>
              <w:t xml:space="preserve">  环境评价工作等级</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894"/>
              <w:gridCol w:w="1894"/>
              <w:gridCol w:w="1894"/>
              <w:gridCol w:w="1894"/>
            </w:tblGrid>
            <w:tr w14:paraId="42ED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Pr>
                <w:p w14:paraId="7048EF9C">
                  <w:pPr>
                    <w:widowControl/>
                    <w:jc w:val="center"/>
                    <w:rPr>
                      <w:snapToGrid w:val="0"/>
                      <w:color w:val="auto"/>
                      <w:kern w:val="0"/>
                      <w:szCs w:val="21"/>
                    </w:rPr>
                  </w:pPr>
                  <w:r>
                    <w:rPr>
                      <w:rFonts w:hint="eastAsia"/>
                      <w:snapToGrid w:val="0"/>
                      <w:color w:val="auto"/>
                      <w:kern w:val="0"/>
                      <w:szCs w:val="21"/>
                    </w:rPr>
                    <w:t>环境风险潜势</w:t>
                  </w:r>
                </w:p>
              </w:tc>
              <w:tc>
                <w:tcPr>
                  <w:tcW w:w="1000" w:type="pct"/>
                </w:tcPr>
                <w:p w14:paraId="3DFA818D">
                  <w:pPr>
                    <w:widowControl/>
                    <w:jc w:val="center"/>
                    <w:rPr>
                      <w:snapToGrid w:val="0"/>
                      <w:color w:val="auto"/>
                      <w:kern w:val="0"/>
                      <w:szCs w:val="21"/>
                    </w:rPr>
                  </w:pPr>
                  <w:r>
                    <w:rPr>
                      <w:rFonts w:hint="eastAsia"/>
                      <w:snapToGrid w:val="0"/>
                      <w:color w:val="auto"/>
                      <w:kern w:val="0"/>
                      <w:szCs w:val="21"/>
                    </w:rPr>
                    <w:t>Ⅳ、Ⅳ+</w:t>
                  </w:r>
                </w:p>
              </w:tc>
              <w:tc>
                <w:tcPr>
                  <w:tcW w:w="1000" w:type="pct"/>
                </w:tcPr>
                <w:p w14:paraId="124BA18F">
                  <w:pPr>
                    <w:widowControl/>
                    <w:jc w:val="center"/>
                    <w:rPr>
                      <w:snapToGrid w:val="0"/>
                      <w:color w:val="auto"/>
                      <w:kern w:val="0"/>
                      <w:szCs w:val="21"/>
                    </w:rPr>
                  </w:pPr>
                  <w:r>
                    <w:rPr>
                      <w:rFonts w:hint="eastAsia"/>
                      <w:snapToGrid w:val="0"/>
                      <w:color w:val="auto"/>
                      <w:kern w:val="0"/>
                      <w:szCs w:val="21"/>
                    </w:rPr>
                    <w:t>Ⅲ</w:t>
                  </w:r>
                </w:p>
              </w:tc>
              <w:tc>
                <w:tcPr>
                  <w:tcW w:w="1000" w:type="pct"/>
                </w:tcPr>
                <w:p w14:paraId="6609B27A">
                  <w:pPr>
                    <w:widowControl/>
                    <w:jc w:val="center"/>
                    <w:rPr>
                      <w:snapToGrid w:val="0"/>
                      <w:color w:val="auto"/>
                      <w:kern w:val="0"/>
                      <w:szCs w:val="21"/>
                    </w:rPr>
                  </w:pPr>
                  <w:r>
                    <w:rPr>
                      <w:rFonts w:hint="eastAsia"/>
                      <w:snapToGrid w:val="0"/>
                      <w:color w:val="auto"/>
                      <w:kern w:val="0"/>
                      <w:szCs w:val="21"/>
                    </w:rPr>
                    <w:t>Ⅱ</w:t>
                  </w:r>
                </w:p>
              </w:tc>
              <w:tc>
                <w:tcPr>
                  <w:tcW w:w="1000" w:type="pct"/>
                </w:tcPr>
                <w:p w14:paraId="7F7C27E5">
                  <w:pPr>
                    <w:widowControl/>
                    <w:jc w:val="center"/>
                    <w:rPr>
                      <w:snapToGrid w:val="0"/>
                      <w:color w:val="auto"/>
                      <w:kern w:val="0"/>
                      <w:szCs w:val="21"/>
                    </w:rPr>
                  </w:pPr>
                  <w:r>
                    <w:rPr>
                      <w:rFonts w:hint="eastAsia"/>
                      <w:snapToGrid w:val="0"/>
                      <w:color w:val="auto"/>
                      <w:kern w:val="0"/>
                      <w:szCs w:val="21"/>
                    </w:rPr>
                    <w:t>Ⅰ</w:t>
                  </w:r>
                </w:p>
              </w:tc>
            </w:tr>
            <w:tr w14:paraId="5F2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Pr>
                <w:p w14:paraId="5830E33D">
                  <w:pPr>
                    <w:widowControl/>
                    <w:jc w:val="center"/>
                    <w:rPr>
                      <w:snapToGrid w:val="0"/>
                      <w:color w:val="auto"/>
                      <w:kern w:val="0"/>
                      <w:szCs w:val="21"/>
                    </w:rPr>
                  </w:pPr>
                  <w:r>
                    <w:rPr>
                      <w:rFonts w:hint="eastAsia"/>
                      <w:snapToGrid w:val="0"/>
                      <w:color w:val="auto"/>
                      <w:kern w:val="0"/>
                      <w:szCs w:val="21"/>
                    </w:rPr>
                    <w:t>评价工作等级</w:t>
                  </w:r>
                </w:p>
              </w:tc>
              <w:tc>
                <w:tcPr>
                  <w:tcW w:w="1000" w:type="pct"/>
                </w:tcPr>
                <w:p w14:paraId="5845A335">
                  <w:pPr>
                    <w:widowControl/>
                    <w:jc w:val="center"/>
                    <w:rPr>
                      <w:snapToGrid w:val="0"/>
                      <w:color w:val="auto"/>
                      <w:kern w:val="0"/>
                      <w:szCs w:val="21"/>
                    </w:rPr>
                  </w:pPr>
                  <w:r>
                    <w:rPr>
                      <w:rFonts w:hint="eastAsia"/>
                      <w:snapToGrid w:val="0"/>
                      <w:color w:val="auto"/>
                      <w:kern w:val="0"/>
                      <w:szCs w:val="21"/>
                    </w:rPr>
                    <w:t>一</w:t>
                  </w:r>
                </w:p>
              </w:tc>
              <w:tc>
                <w:tcPr>
                  <w:tcW w:w="1000" w:type="pct"/>
                </w:tcPr>
                <w:p w14:paraId="0712D403">
                  <w:pPr>
                    <w:widowControl/>
                    <w:jc w:val="center"/>
                    <w:rPr>
                      <w:snapToGrid w:val="0"/>
                      <w:color w:val="auto"/>
                      <w:kern w:val="0"/>
                      <w:szCs w:val="21"/>
                    </w:rPr>
                  </w:pPr>
                  <w:r>
                    <w:rPr>
                      <w:rFonts w:hint="eastAsia"/>
                      <w:snapToGrid w:val="0"/>
                      <w:color w:val="auto"/>
                      <w:kern w:val="0"/>
                      <w:szCs w:val="21"/>
                    </w:rPr>
                    <w:t>二</w:t>
                  </w:r>
                </w:p>
              </w:tc>
              <w:tc>
                <w:tcPr>
                  <w:tcW w:w="1000" w:type="pct"/>
                </w:tcPr>
                <w:p w14:paraId="0FAD4363">
                  <w:pPr>
                    <w:widowControl/>
                    <w:jc w:val="center"/>
                    <w:rPr>
                      <w:snapToGrid w:val="0"/>
                      <w:color w:val="auto"/>
                      <w:kern w:val="0"/>
                      <w:szCs w:val="21"/>
                    </w:rPr>
                  </w:pPr>
                  <w:r>
                    <w:rPr>
                      <w:rFonts w:hint="eastAsia"/>
                      <w:snapToGrid w:val="0"/>
                      <w:color w:val="auto"/>
                      <w:kern w:val="0"/>
                      <w:szCs w:val="21"/>
                    </w:rPr>
                    <w:t>三</w:t>
                  </w:r>
                </w:p>
              </w:tc>
              <w:tc>
                <w:tcPr>
                  <w:tcW w:w="1000" w:type="pct"/>
                </w:tcPr>
                <w:p w14:paraId="0320016D">
                  <w:pPr>
                    <w:widowControl/>
                    <w:jc w:val="center"/>
                    <w:rPr>
                      <w:snapToGrid w:val="0"/>
                      <w:color w:val="auto"/>
                      <w:kern w:val="0"/>
                      <w:szCs w:val="21"/>
                    </w:rPr>
                  </w:pPr>
                  <w:r>
                    <w:rPr>
                      <w:rFonts w:hint="eastAsia"/>
                      <w:snapToGrid w:val="0"/>
                      <w:color w:val="auto"/>
                      <w:kern w:val="0"/>
                      <w:szCs w:val="21"/>
                    </w:rPr>
                    <w:t>简单分析</w:t>
                  </w:r>
                  <w:r>
                    <w:rPr>
                      <w:rFonts w:hint="eastAsia"/>
                      <w:snapToGrid w:val="0"/>
                      <w:color w:val="auto"/>
                      <w:kern w:val="0"/>
                      <w:szCs w:val="21"/>
                      <w:vertAlign w:val="superscript"/>
                    </w:rPr>
                    <w:t>a</w:t>
                  </w:r>
                </w:p>
              </w:tc>
            </w:tr>
            <w:tr w14:paraId="2CAF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Pr>
                <w:p w14:paraId="60EE3CFC">
                  <w:pPr>
                    <w:widowControl/>
                    <w:jc w:val="center"/>
                    <w:rPr>
                      <w:snapToGrid w:val="0"/>
                      <w:color w:val="auto"/>
                      <w:kern w:val="0"/>
                      <w:szCs w:val="21"/>
                    </w:rPr>
                  </w:pPr>
                  <w:r>
                    <w:rPr>
                      <w:rFonts w:hint="eastAsia"/>
                      <w:snapToGrid w:val="0"/>
                      <w:color w:val="auto"/>
                      <w:kern w:val="0"/>
                      <w:szCs w:val="21"/>
                    </w:rPr>
                    <w:t>a.是相对于详细评价工作内容而言，在描述危险物质、环境影响途径、环境危害后果、风险防范措施等方面给出定性的说明。</w:t>
                  </w:r>
                </w:p>
              </w:tc>
            </w:tr>
          </w:tbl>
          <w:p w14:paraId="094162C9">
            <w:pPr>
              <w:spacing w:line="500" w:lineRule="atLeast"/>
              <w:ind w:firstLine="482"/>
              <w:rPr>
                <w:snapToGrid w:val="0"/>
                <w:color w:val="auto"/>
                <w:kern w:val="0"/>
                <w:sz w:val="24"/>
              </w:rPr>
            </w:pPr>
            <w:r>
              <w:rPr>
                <w:rFonts w:hint="eastAsia"/>
                <w:snapToGrid w:val="0"/>
                <w:color w:val="auto"/>
                <w:kern w:val="0"/>
                <w:sz w:val="24"/>
              </w:rPr>
              <w:t>计算所涉及的每种危险物质在厂界内的最大存在总量与其在《建设项目环境风险评价技术导则》（HJ169-2018）附录B中对应临界量的比值Q。</w:t>
            </w:r>
          </w:p>
          <w:p w14:paraId="08032D21">
            <w:pPr>
              <w:spacing w:line="500" w:lineRule="atLeast"/>
              <w:ind w:firstLine="482"/>
              <w:rPr>
                <w:snapToGrid w:val="0"/>
                <w:color w:val="auto"/>
                <w:kern w:val="0"/>
                <w:sz w:val="24"/>
              </w:rPr>
            </w:pPr>
            <w:r>
              <w:rPr>
                <w:rFonts w:hint="eastAsia"/>
                <w:snapToGrid w:val="0"/>
                <w:color w:val="auto"/>
                <w:kern w:val="0"/>
                <w:sz w:val="24"/>
              </w:rPr>
              <w:t>当只涉及一种危险物质时，计算该物质的总量与其临界量比值，即为Q；</w:t>
            </w:r>
          </w:p>
          <w:p w14:paraId="63C32099">
            <w:pPr>
              <w:spacing w:line="500" w:lineRule="atLeast"/>
              <w:ind w:firstLine="482"/>
              <w:rPr>
                <w:snapToGrid w:val="0"/>
                <w:color w:val="auto"/>
                <w:kern w:val="0"/>
                <w:sz w:val="24"/>
              </w:rPr>
            </w:pPr>
            <w:r>
              <w:rPr>
                <w:color w:val="auto"/>
                <w:sz w:val="24"/>
              </w:rPr>
              <w:drawing>
                <wp:anchor distT="0" distB="0" distL="114300" distR="114300" simplePos="0" relativeHeight="251659264" behindDoc="0" locked="0" layoutInCell="1" allowOverlap="1">
                  <wp:simplePos x="0" y="0"/>
                  <wp:positionH relativeFrom="column">
                    <wp:posOffset>2040890</wp:posOffset>
                  </wp:positionH>
                  <wp:positionV relativeFrom="paragraph">
                    <wp:posOffset>340360</wp:posOffset>
                  </wp:positionV>
                  <wp:extent cx="1828800" cy="552450"/>
                  <wp:effectExtent l="0" t="0" r="0" b="0"/>
                  <wp:wrapTopAndBottom/>
                  <wp:docPr id="6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0" cy="552450"/>
                          </a:xfrm>
                          <a:prstGeom prst="rect">
                            <a:avLst/>
                          </a:prstGeom>
                          <a:noFill/>
                          <a:ln>
                            <a:noFill/>
                          </a:ln>
                        </pic:spPr>
                      </pic:pic>
                    </a:graphicData>
                  </a:graphic>
                </wp:anchor>
              </w:drawing>
            </w:r>
            <w:r>
              <w:rPr>
                <w:rFonts w:hint="eastAsia"/>
                <w:snapToGrid w:val="0"/>
                <w:color w:val="auto"/>
                <w:kern w:val="0"/>
                <w:sz w:val="24"/>
              </w:rPr>
              <w:t>当存在多种危险物质时，则按下式计算物质总量与其临界量比值（Q）：</w:t>
            </w:r>
          </w:p>
          <w:p w14:paraId="40C0AA02">
            <w:pPr>
              <w:spacing w:line="500" w:lineRule="atLeast"/>
              <w:ind w:firstLine="482"/>
              <w:rPr>
                <w:snapToGrid w:val="0"/>
                <w:color w:val="auto"/>
                <w:kern w:val="0"/>
                <w:sz w:val="24"/>
              </w:rPr>
            </w:pPr>
            <w:r>
              <w:rPr>
                <w:snapToGrid w:val="0"/>
                <w:color w:val="auto"/>
                <w:kern w:val="0"/>
                <w:sz w:val="24"/>
              </w:rPr>
              <w:t>式中</w:t>
            </w:r>
            <w:r>
              <w:rPr>
                <w:rFonts w:hint="eastAsia"/>
                <w:snapToGrid w:val="0"/>
                <w:color w:val="auto"/>
                <w:kern w:val="0"/>
                <w:sz w:val="24"/>
              </w:rPr>
              <w:t>：</w:t>
            </w:r>
            <w:r>
              <w:rPr>
                <w:snapToGrid w:val="0"/>
                <w:color w:val="auto"/>
                <w:kern w:val="0"/>
                <w:sz w:val="24"/>
              </w:rPr>
              <w:t>q</w:t>
            </w:r>
            <w:r>
              <w:rPr>
                <w:snapToGrid w:val="0"/>
                <w:color w:val="auto"/>
                <w:kern w:val="0"/>
                <w:sz w:val="24"/>
                <w:vertAlign w:val="subscript"/>
              </w:rPr>
              <w:t>1</w:t>
            </w:r>
            <w:r>
              <w:rPr>
                <w:rFonts w:hint="eastAsia"/>
                <w:snapToGrid w:val="0"/>
                <w:color w:val="auto"/>
                <w:kern w:val="0"/>
                <w:sz w:val="24"/>
              </w:rPr>
              <w:t>，</w:t>
            </w:r>
            <w:r>
              <w:rPr>
                <w:snapToGrid w:val="0"/>
                <w:color w:val="auto"/>
                <w:kern w:val="0"/>
                <w:sz w:val="24"/>
              </w:rPr>
              <w:t>q</w:t>
            </w:r>
            <w:r>
              <w:rPr>
                <w:snapToGrid w:val="0"/>
                <w:color w:val="auto"/>
                <w:kern w:val="0"/>
                <w:sz w:val="24"/>
                <w:vertAlign w:val="subscript"/>
              </w:rPr>
              <w:t>2</w:t>
            </w:r>
            <w:r>
              <w:rPr>
                <w:rFonts w:hint="eastAsia"/>
                <w:snapToGrid w:val="0"/>
                <w:color w:val="auto"/>
                <w:kern w:val="0"/>
                <w:sz w:val="24"/>
              </w:rPr>
              <w:t>，……</w:t>
            </w:r>
            <w:r>
              <w:rPr>
                <w:snapToGrid w:val="0"/>
                <w:color w:val="auto"/>
                <w:kern w:val="0"/>
                <w:sz w:val="24"/>
              </w:rPr>
              <w:t>q</w:t>
            </w:r>
            <w:r>
              <w:rPr>
                <w:snapToGrid w:val="0"/>
                <w:color w:val="auto"/>
                <w:kern w:val="0"/>
                <w:sz w:val="24"/>
                <w:vertAlign w:val="subscript"/>
              </w:rPr>
              <w:t>n</w:t>
            </w:r>
            <w:r>
              <w:rPr>
                <w:rFonts w:hint="eastAsia"/>
                <w:snapToGrid w:val="0"/>
                <w:color w:val="auto"/>
                <w:kern w:val="0"/>
                <w:sz w:val="24"/>
              </w:rPr>
              <w:t>——每种危险物质的最大存在总量，t；</w:t>
            </w:r>
          </w:p>
          <w:p w14:paraId="007718F3">
            <w:pPr>
              <w:spacing w:line="500" w:lineRule="atLeast"/>
              <w:ind w:firstLine="482"/>
              <w:rPr>
                <w:snapToGrid w:val="0"/>
                <w:color w:val="auto"/>
                <w:kern w:val="0"/>
                <w:sz w:val="24"/>
              </w:rPr>
            </w:pPr>
            <w:r>
              <w:rPr>
                <w:snapToGrid w:val="0"/>
                <w:color w:val="auto"/>
                <w:kern w:val="0"/>
                <w:sz w:val="24"/>
              </w:rPr>
              <w:t>Q</w:t>
            </w:r>
            <w:r>
              <w:rPr>
                <w:snapToGrid w:val="0"/>
                <w:color w:val="auto"/>
                <w:kern w:val="0"/>
                <w:sz w:val="24"/>
                <w:vertAlign w:val="subscript"/>
              </w:rPr>
              <w:t>1</w:t>
            </w:r>
            <w:r>
              <w:rPr>
                <w:rFonts w:hint="eastAsia"/>
                <w:snapToGrid w:val="0"/>
                <w:color w:val="auto"/>
                <w:kern w:val="0"/>
                <w:sz w:val="24"/>
              </w:rPr>
              <w:t>，</w:t>
            </w:r>
            <w:r>
              <w:rPr>
                <w:snapToGrid w:val="0"/>
                <w:color w:val="auto"/>
                <w:kern w:val="0"/>
                <w:sz w:val="24"/>
              </w:rPr>
              <w:t>Q</w:t>
            </w:r>
            <w:r>
              <w:rPr>
                <w:snapToGrid w:val="0"/>
                <w:color w:val="auto"/>
                <w:kern w:val="0"/>
                <w:sz w:val="24"/>
                <w:vertAlign w:val="subscript"/>
              </w:rPr>
              <w:t>2</w:t>
            </w:r>
            <w:r>
              <w:rPr>
                <w:rFonts w:hint="eastAsia"/>
                <w:snapToGrid w:val="0"/>
                <w:color w:val="auto"/>
                <w:kern w:val="0"/>
                <w:sz w:val="24"/>
              </w:rPr>
              <w:t>……</w:t>
            </w:r>
            <w:r>
              <w:rPr>
                <w:snapToGrid w:val="0"/>
                <w:color w:val="auto"/>
                <w:kern w:val="0"/>
                <w:sz w:val="24"/>
              </w:rPr>
              <w:t>Q</w:t>
            </w:r>
            <w:r>
              <w:rPr>
                <w:snapToGrid w:val="0"/>
                <w:color w:val="auto"/>
                <w:kern w:val="0"/>
                <w:sz w:val="24"/>
                <w:vertAlign w:val="subscript"/>
              </w:rPr>
              <w:t>n</w:t>
            </w:r>
            <w:r>
              <w:rPr>
                <w:rFonts w:hint="eastAsia"/>
                <w:snapToGrid w:val="0"/>
                <w:color w:val="auto"/>
                <w:kern w:val="0"/>
                <w:sz w:val="24"/>
              </w:rPr>
              <w:t>——</w:t>
            </w:r>
            <w:r>
              <w:rPr>
                <w:snapToGrid w:val="0"/>
                <w:color w:val="auto"/>
                <w:kern w:val="0"/>
                <w:sz w:val="24"/>
              </w:rPr>
              <w:t>每种危险物质的临界量</w:t>
            </w:r>
            <w:r>
              <w:rPr>
                <w:rFonts w:hint="eastAsia"/>
                <w:snapToGrid w:val="0"/>
                <w:color w:val="auto"/>
                <w:kern w:val="0"/>
                <w:sz w:val="24"/>
              </w:rPr>
              <w:t>，</w:t>
            </w:r>
            <w:r>
              <w:rPr>
                <w:snapToGrid w:val="0"/>
                <w:color w:val="auto"/>
                <w:kern w:val="0"/>
                <w:sz w:val="24"/>
              </w:rPr>
              <w:t>t</w:t>
            </w:r>
            <w:r>
              <w:rPr>
                <w:rFonts w:hint="eastAsia"/>
                <w:snapToGrid w:val="0"/>
                <w:color w:val="auto"/>
                <w:kern w:val="0"/>
                <w:sz w:val="24"/>
              </w:rPr>
              <w:t>。</w:t>
            </w:r>
          </w:p>
          <w:p w14:paraId="6F2AC7F5">
            <w:pPr>
              <w:spacing w:line="500" w:lineRule="atLeast"/>
              <w:ind w:firstLine="482"/>
              <w:rPr>
                <w:snapToGrid w:val="0"/>
                <w:color w:val="auto"/>
                <w:kern w:val="0"/>
                <w:sz w:val="24"/>
              </w:rPr>
            </w:pPr>
            <w:r>
              <w:rPr>
                <w:snapToGrid w:val="0"/>
                <w:color w:val="auto"/>
                <w:kern w:val="0"/>
                <w:sz w:val="24"/>
              </w:rPr>
              <w:t>当Q＜</w:t>
            </w:r>
            <w:r>
              <w:rPr>
                <w:rFonts w:hint="eastAsia"/>
                <w:snapToGrid w:val="0"/>
                <w:color w:val="auto"/>
                <w:kern w:val="0"/>
                <w:sz w:val="24"/>
              </w:rPr>
              <w:t>1时，该项目环境风险潜势为Ⅰ。</w:t>
            </w:r>
          </w:p>
          <w:p w14:paraId="2BC01166">
            <w:pPr>
              <w:spacing w:line="500" w:lineRule="atLeast"/>
              <w:ind w:firstLine="482"/>
              <w:rPr>
                <w:snapToGrid w:val="0"/>
                <w:color w:val="auto"/>
                <w:kern w:val="0"/>
                <w:sz w:val="24"/>
              </w:rPr>
            </w:pPr>
            <w:r>
              <w:rPr>
                <w:snapToGrid w:val="0"/>
                <w:color w:val="auto"/>
                <w:kern w:val="0"/>
                <w:sz w:val="24"/>
              </w:rPr>
              <w:t>当Q≥1时</w:t>
            </w:r>
            <w:r>
              <w:rPr>
                <w:rFonts w:hint="eastAsia"/>
                <w:snapToGrid w:val="0"/>
                <w:color w:val="auto"/>
                <w:kern w:val="0"/>
                <w:sz w:val="24"/>
              </w:rPr>
              <w:t>，</w:t>
            </w:r>
            <w:r>
              <w:rPr>
                <w:snapToGrid w:val="0"/>
                <w:color w:val="auto"/>
                <w:kern w:val="0"/>
                <w:sz w:val="24"/>
              </w:rPr>
              <w:t>将Q值划分为</w:t>
            </w:r>
            <w:r>
              <w:rPr>
                <w:rFonts w:hint="eastAsia"/>
                <w:snapToGrid w:val="0"/>
                <w:color w:val="auto"/>
                <w:kern w:val="0"/>
                <w:sz w:val="24"/>
              </w:rPr>
              <w:t>：（1）1≤Q＜1</w:t>
            </w:r>
            <w:r>
              <w:rPr>
                <w:snapToGrid w:val="0"/>
                <w:color w:val="auto"/>
                <w:kern w:val="0"/>
                <w:sz w:val="24"/>
              </w:rPr>
              <w:t>0</w:t>
            </w:r>
            <w:r>
              <w:rPr>
                <w:rFonts w:hint="eastAsia"/>
                <w:snapToGrid w:val="0"/>
                <w:color w:val="auto"/>
                <w:kern w:val="0"/>
                <w:sz w:val="24"/>
              </w:rPr>
              <w:t>；（2）1</w:t>
            </w:r>
            <w:r>
              <w:rPr>
                <w:snapToGrid w:val="0"/>
                <w:color w:val="auto"/>
                <w:kern w:val="0"/>
                <w:sz w:val="24"/>
              </w:rPr>
              <w:t>0≤Q＜</w:t>
            </w:r>
            <w:r>
              <w:rPr>
                <w:rFonts w:hint="eastAsia"/>
                <w:snapToGrid w:val="0"/>
                <w:color w:val="auto"/>
                <w:kern w:val="0"/>
                <w:sz w:val="24"/>
              </w:rPr>
              <w:t>1</w:t>
            </w:r>
            <w:r>
              <w:rPr>
                <w:snapToGrid w:val="0"/>
                <w:color w:val="auto"/>
                <w:kern w:val="0"/>
                <w:sz w:val="24"/>
              </w:rPr>
              <w:t>00</w:t>
            </w:r>
            <w:r>
              <w:rPr>
                <w:rFonts w:hint="eastAsia"/>
                <w:snapToGrid w:val="0"/>
                <w:color w:val="auto"/>
                <w:kern w:val="0"/>
                <w:sz w:val="24"/>
              </w:rPr>
              <w:t>；（3）Q≥1</w:t>
            </w:r>
            <w:r>
              <w:rPr>
                <w:snapToGrid w:val="0"/>
                <w:color w:val="auto"/>
                <w:kern w:val="0"/>
                <w:sz w:val="24"/>
              </w:rPr>
              <w:t>00</w:t>
            </w:r>
            <w:r>
              <w:rPr>
                <w:rFonts w:hint="eastAsia"/>
                <w:snapToGrid w:val="0"/>
                <w:color w:val="auto"/>
                <w:kern w:val="0"/>
                <w:sz w:val="24"/>
              </w:rPr>
              <w:t>。</w:t>
            </w:r>
          </w:p>
          <w:p w14:paraId="22264170">
            <w:pPr>
              <w:snapToGrid w:val="0"/>
              <w:spacing w:after="24" w:afterLines="10" w:line="520" w:lineRule="exact"/>
              <w:jc w:val="center"/>
              <w:rPr>
                <w:b/>
                <w:bCs/>
                <w:color w:val="auto"/>
                <w:kern w:val="0"/>
                <w:sz w:val="24"/>
              </w:rPr>
            </w:pPr>
            <w:r>
              <w:rPr>
                <w:rFonts w:hint="eastAsia"/>
                <w:b/>
                <w:bCs/>
                <w:color w:val="auto"/>
                <w:kern w:val="0"/>
                <w:sz w:val="24"/>
              </w:rPr>
              <w:t>表</w:t>
            </w:r>
            <w:r>
              <w:rPr>
                <w:b/>
                <w:bCs/>
                <w:color w:val="auto"/>
                <w:kern w:val="0"/>
                <w:sz w:val="24"/>
              </w:rPr>
              <w:t>4-2</w:t>
            </w:r>
            <w:r>
              <w:rPr>
                <w:rFonts w:hint="eastAsia"/>
                <w:b/>
                <w:bCs/>
                <w:color w:val="auto"/>
                <w:kern w:val="0"/>
                <w:sz w:val="24"/>
                <w:lang w:val="en-US" w:eastAsia="zh-CN"/>
              </w:rPr>
              <w:t>5</w:t>
            </w:r>
            <w:r>
              <w:rPr>
                <w:b/>
                <w:bCs/>
                <w:color w:val="auto"/>
                <w:kern w:val="0"/>
                <w:sz w:val="24"/>
              </w:rPr>
              <w:t xml:space="preserve"> </w:t>
            </w:r>
            <w:r>
              <w:rPr>
                <w:rFonts w:hint="eastAsia"/>
                <w:b/>
                <w:bCs/>
                <w:color w:val="auto"/>
                <w:kern w:val="0"/>
                <w:sz w:val="24"/>
              </w:rPr>
              <w:t>突发环境风险物质及临界量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12"/>
              <w:gridCol w:w="1792"/>
              <w:gridCol w:w="1820"/>
              <w:gridCol w:w="1710"/>
              <w:gridCol w:w="1586"/>
            </w:tblGrid>
            <w:tr w14:paraId="6567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60BBCE6">
                  <w:pPr>
                    <w:snapToGrid w:val="0"/>
                    <w:jc w:val="center"/>
                    <w:rPr>
                      <w:color w:val="auto"/>
                      <w:kern w:val="0"/>
                      <w:szCs w:val="21"/>
                    </w:rPr>
                  </w:pPr>
                  <w:r>
                    <w:rPr>
                      <w:rFonts w:hint="eastAsia"/>
                      <w:color w:val="auto"/>
                      <w:kern w:val="0"/>
                      <w:szCs w:val="21"/>
                    </w:rPr>
                    <w:t>序号</w:t>
                  </w:r>
                </w:p>
              </w:tc>
              <w:tc>
                <w:tcPr>
                  <w:tcW w:w="904" w:type="pct"/>
                  <w:tcBorders>
                    <w:top w:val="single" w:color="auto" w:sz="4" w:space="0"/>
                    <w:left w:val="single" w:color="auto" w:sz="4" w:space="0"/>
                    <w:bottom w:val="single" w:color="auto" w:sz="4" w:space="0"/>
                    <w:right w:val="single" w:color="auto" w:sz="4" w:space="0"/>
                  </w:tcBorders>
                  <w:vAlign w:val="center"/>
                </w:tcPr>
                <w:p w14:paraId="353A8EF9">
                  <w:pPr>
                    <w:snapToGrid w:val="0"/>
                    <w:jc w:val="center"/>
                    <w:rPr>
                      <w:color w:val="auto"/>
                      <w:kern w:val="0"/>
                      <w:szCs w:val="21"/>
                    </w:rPr>
                  </w:pPr>
                  <w:r>
                    <w:rPr>
                      <w:rFonts w:hint="eastAsia"/>
                      <w:color w:val="auto"/>
                      <w:kern w:val="0"/>
                      <w:szCs w:val="21"/>
                    </w:rPr>
                    <w:t>名称</w:t>
                  </w:r>
                </w:p>
              </w:tc>
              <w:tc>
                <w:tcPr>
                  <w:tcW w:w="946" w:type="pct"/>
                  <w:tcBorders>
                    <w:top w:val="single" w:color="auto" w:sz="4" w:space="0"/>
                    <w:left w:val="single" w:color="auto" w:sz="4" w:space="0"/>
                    <w:bottom w:val="single" w:color="auto" w:sz="4" w:space="0"/>
                    <w:right w:val="single" w:color="auto" w:sz="4" w:space="0"/>
                  </w:tcBorders>
                  <w:vAlign w:val="center"/>
                </w:tcPr>
                <w:p w14:paraId="79A68B99">
                  <w:pPr>
                    <w:snapToGrid w:val="0"/>
                    <w:jc w:val="center"/>
                    <w:rPr>
                      <w:color w:val="auto"/>
                      <w:kern w:val="0"/>
                      <w:szCs w:val="21"/>
                    </w:rPr>
                  </w:pPr>
                  <w:r>
                    <w:rPr>
                      <w:rFonts w:hint="eastAsia"/>
                      <w:color w:val="auto"/>
                      <w:kern w:val="0"/>
                      <w:szCs w:val="21"/>
                    </w:rPr>
                    <w:t>临界量参考物质</w:t>
                  </w:r>
                </w:p>
              </w:tc>
              <w:tc>
                <w:tcPr>
                  <w:tcW w:w="961" w:type="pct"/>
                  <w:tcBorders>
                    <w:top w:val="single" w:color="auto" w:sz="4" w:space="0"/>
                    <w:left w:val="single" w:color="auto" w:sz="4" w:space="0"/>
                    <w:bottom w:val="single" w:color="auto" w:sz="4" w:space="0"/>
                    <w:right w:val="single" w:color="auto" w:sz="4" w:space="0"/>
                  </w:tcBorders>
                  <w:vAlign w:val="center"/>
                </w:tcPr>
                <w:p w14:paraId="77B04144">
                  <w:pPr>
                    <w:snapToGrid w:val="0"/>
                    <w:jc w:val="center"/>
                    <w:rPr>
                      <w:color w:val="auto"/>
                      <w:kern w:val="0"/>
                      <w:szCs w:val="21"/>
                    </w:rPr>
                  </w:pPr>
                  <w:r>
                    <w:rPr>
                      <w:color w:val="auto"/>
                      <w:kern w:val="0"/>
                      <w:szCs w:val="21"/>
                    </w:rPr>
                    <w:t>qi</w:t>
                  </w:r>
                  <w:r>
                    <w:rPr>
                      <w:rFonts w:hint="eastAsia"/>
                      <w:color w:val="auto"/>
                      <w:kern w:val="0"/>
                      <w:szCs w:val="21"/>
                    </w:rPr>
                    <w:t>最大储存量</w:t>
                  </w:r>
                  <w:r>
                    <w:rPr>
                      <w:color w:val="auto"/>
                      <w:kern w:val="0"/>
                      <w:szCs w:val="21"/>
                    </w:rPr>
                    <w:t>(t)</w:t>
                  </w:r>
                </w:p>
              </w:tc>
              <w:tc>
                <w:tcPr>
                  <w:tcW w:w="902" w:type="pct"/>
                  <w:tcBorders>
                    <w:top w:val="single" w:color="auto" w:sz="4" w:space="0"/>
                    <w:left w:val="single" w:color="auto" w:sz="4" w:space="0"/>
                    <w:bottom w:val="single" w:color="auto" w:sz="4" w:space="0"/>
                    <w:right w:val="single" w:color="auto" w:sz="4" w:space="0"/>
                  </w:tcBorders>
                  <w:vAlign w:val="center"/>
                </w:tcPr>
                <w:p w14:paraId="35B29C36">
                  <w:pPr>
                    <w:snapToGrid w:val="0"/>
                    <w:jc w:val="center"/>
                    <w:rPr>
                      <w:color w:val="auto"/>
                      <w:kern w:val="0"/>
                      <w:szCs w:val="21"/>
                    </w:rPr>
                  </w:pPr>
                  <w:r>
                    <w:rPr>
                      <w:color w:val="auto"/>
                      <w:kern w:val="0"/>
                      <w:szCs w:val="21"/>
                    </w:rPr>
                    <w:t>Qi</w:t>
                  </w:r>
                  <w:r>
                    <w:rPr>
                      <w:rFonts w:hint="eastAsia"/>
                      <w:color w:val="auto"/>
                      <w:kern w:val="0"/>
                      <w:szCs w:val="21"/>
                    </w:rPr>
                    <w:t>临界量</w:t>
                  </w:r>
                  <w:r>
                    <w:rPr>
                      <w:color w:val="auto"/>
                      <w:kern w:val="0"/>
                      <w:szCs w:val="21"/>
                    </w:rPr>
                    <w:t>(t)</w:t>
                  </w:r>
                </w:p>
              </w:tc>
              <w:tc>
                <w:tcPr>
                  <w:tcW w:w="837" w:type="pct"/>
                  <w:tcBorders>
                    <w:top w:val="single" w:color="auto" w:sz="4" w:space="0"/>
                    <w:left w:val="single" w:color="auto" w:sz="4" w:space="0"/>
                    <w:bottom w:val="single" w:color="auto" w:sz="4" w:space="0"/>
                    <w:right w:val="single" w:color="auto" w:sz="4" w:space="0"/>
                  </w:tcBorders>
                  <w:vAlign w:val="center"/>
                </w:tcPr>
                <w:p w14:paraId="4C23ACD8">
                  <w:pPr>
                    <w:snapToGrid w:val="0"/>
                    <w:jc w:val="center"/>
                    <w:rPr>
                      <w:color w:val="auto"/>
                      <w:kern w:val="0"/>
                      <w:szCs w:val="21"/>
                    </w:rPr>
                  </w:pPr>
                  <w:r>
                    <w:rPr>
                      <w:color w:val="auto"/>
                      <w:kern w:val="0"/>
                      <w:szCs w:val="21"/>
                    </w:rPr>
                    <w:t>qi/Qi</w:t>
                  </w:r>
                </w:p>
              </w:tc>
            </w:tr>
            <w:tr w14:paraId="5A33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009DF8B">
                  <w:pPr>
                    <w:snapToGrid w:val="0"/>
                    <w:jc w:val="center"/>
                    <w:rPr>
                      <w:color w:val="auto"/>
                      <w:kern w:val="0"/>
                      <w:szCs w:val="21"/>
                    </w:rPr>
                  </w:pPr>
                  <w:r>
                    <w:rPr>
                      <w:rFonts w:hint="eastAsia"/>
                      <w:color w:val="auto"/>
                      <w:kern w:val="0"/>
                      <w:szCs w:val="21"/>
                      <w:lang w:val="en-US" w:eastAsia="zh-CN"/>
                    </w:rPr>
                    <w:t>1</w:t>
                  </w:r>
                </w:p>
              </w:tc>
              <w:tc>
                <w:tcPr>
                  <w:tcW w:w="904" w:type="pct"/>
                  <w:tcBorders>
                    <w:top w:val="single" w:color="auto" w:sz="4" w:space="0"/>
                    <w:left w:val="single" w:color="auto" w:sz="4" w:space="0"/>
                    <w:bottom w:val="single" w:color="auto" w:sz="4" w:space="0"/>
                    <w:right w:val="single" w:color="auto" w:sz="4" w:space="0"/>
                  </w:tcBorders>
                  <w:vAlign w:val="center"/>
                </w:tcPr>
                <w:p w14:paraId="38BB3888">
                  <w:pPr>
                    <w:snapToGrid w:val="0"/>
                    <w:jc w:val="center"/>
                    <w:rPr>
                      <w:rFonts w:cs="宋体"/>
                      <w:color w:val="auto"/>
                      <w:lang w:bidi="ar"/>
                    </w:rPr>
                  </w:pPr>
                  <w:r>
                    <w:rPr>
                      <w:rFonts w:hint="eastAsia" w:cs="宋体"/>
                      <w:color w:val="auto"/>
                      <w:lang w:bidi="ar"/>
                    </w:rPr>
                    <w:t>废机油</w:t>
                  </w:r>
                </w:p>
              </w:tc>
              <w:tc>
                <w:tcPr>
                  <w:tcW w:w="946" w:type="pct"/>
                  <w:tcBorders>
                    <w:top w:val="single" w:color="auto" w:sz="4" w:space="0"/>
                    <w:left w:val="single" w:color="auto" w:sz="4" w:space="0"/>
                    <w:bottom w:val="single" w:color="auto" w:sz="4" w:space="0"/>
                    <w:right w:val="single" w:color="auto" w:sz="4" w:space="0"/>
                  </w:tcBorders>
                  <w:vAlign w:val="center"/>
                </w:tcPr>
                <w:p w14:paraId="37C52B83">
                  <w:pPr>
                    <w:snapToGrid w:val="0"/>
                    <w:jc w:val="center"/>
                    <w:rPr>
                      <w:color w:val="auto"/>
                      <w:kern w:val="0"/>
                      <w:szCs w:val="21"/>
                    </w:rPr>
                  </w:pPr>
                  <w:r>
                    <w:rPr>
                      <w:rFonts w:hint="eastAsia"/>
                      <w:color w:val="auto"/>
                      <w:kern w:val="0"/>
                      <w:szCs w:val="21"/>
                    </w:rPr>
                    <w:t>油类物质</w:t>
                  </w:r>
                </w:p>
              </w:tc>
              <w:tc>
                <w:tcPr>
                  <w:tcW w:w="961" w:type="pct"/>
                  <w:tcBorders>
                    <w:top w:val="single" w:color="auto" w:sz="4" w:space="0"/>
                    <w:left w:val="single" w:color="auto" w:sz="4" w:space="0"/>
                    <w:bottom w:val="single" w:color="auto" w:sz="4" w:space="0"/>
                    <w:right w:val="single" w:color="auto" w:sz="4" w:space="0"/>
                  </w:tcBorders>
                  <w:vAlign w:val="center"/>
                </w:tcPr>
                <w:p w14:paraId="4C76582D">
                  <w:pPr>
                    <w:snapToGrid w:val="0"/>
                    <w:jc w:val="center"/>
                    <w:rPr>
                      <w:color w:val="auto"/>
                      <w:kern w:val="0"/>
                      <w:szCs w:val="21"/>
                    </w:rPr>
                  </w:pPr>
                  <w:r>
                    <w:rPr>
                      <w:rFonts w:hint="eastAsia"/>
                      <w:color w:val="auto"/>
                      <w:kern w:val="0"/>
                      <w:szCs w:val="21"/>
                    </w:rPr>
                    <w:t>0</w:t>
                  </w:r>
                  <w:r>
                    <w:rPr>
                      <w:color w:val="auto"/>
                      <w:kern w:val="0"/>
                      <w:szCs w:val="21"/>
                    </w:rPr>
                    <w:t>.1</w:t>
                  </w:r>
                </w:p>
              </w:tc>
              <w:tc>
                <w:tcPr>
                  <w:tcW w:w="902" w:type="pct"/>
                  <w:tcBorders>
                    <w:top w:val="single" w:color="auto" w:sz="4" w:space="0"/>
                    <w:left w:val="single" w:color="auto" w:sz="4" w:space="0"/>
                    <w:bottom w:val="single" w:color="auto" w:sz="4" w:space="0"/>
                    <w:right w:val="single" w:color="auto" w:sz="4" w:space="0"/>
                  </w:tcBorders>
                  <w:vAlign w:val="center"/>
                </w:tcPr>
                <w:p w14:paraId="3B82B527">
                  <w:pPr>
                    <w:snapToGrid w:val="0"/>
                    <w:jc w:val="center"/>
                    <w:rPr>
                      <w:color w:val="auto"/>
                      <w:kern w:val="0"/>
                      <w:szCs w:val="21"/>
                    </w:rPr>
                  </w:pPr>
                  <w:r>
                    <w:rPr>
                      <w:rFonts w:hint="eastAsia"/>
                      <w:color w:val="auto"/>
                      <w:kern w:val="0"/>
                      <w:szCs w:val="21"/>
                    </w:rPr>
                    <w:t>2</w:t>
                  </w:r>
                  <w:r>
                    <w:rPr>
                      <w:color w:val="auto"/>
                      <w:kern w:val="0"/>
                      <w:szCs w:val="21"/>
                    </w:rPr>
                    <w:t>500</w:t>
                  </w:r>
                </w:p>
              </w:tc>
              <w:tc>
                <w:tcPr>
                  <w:tcW w:w="837" w:type="pct"/>
                  <w:tcBorders>
                    <w:top w:val="single" w:color="auto" w:sz="4" w:space="0"/>
                    <w:left w:val="single" w:color="auto" w:sz="4" w:space="0"/>
                    <w:bottom w:val="single" w:color="auto" w:sz="4" w:space="0"/>
                    <w:right w:val="single" w:color="auto" w:sz="4" w:space="0"/>
                  </w:tcBorders>
                </w:tcPr>
                <w:p w14:paraId="6C21DE6F">
                  <w:pPr>
                    <w:snapToGrid w:val="0"/>
                    <w:jc w:val="center"/>
                    <w:rPr>
                      <w:color w:val="auto"/>
                      <w:kern w:val="0"/>
                      <w:szCs w:val="21"/>
                    </w:rPr>
                  </w:pPr>
                  <w:r>
                    <w:rPr>
                      <w:color w:val="auto"/>
                    </w:rPr>
                    <w:t>0.00004</w:t>
                  </w:r>
                </w:p>
              </w:tc>
            </w:tr>
            <w:tr w14:paraId="7169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6BAF5D4">
                  <w:pPr>
                    <w:snapToGrid w:val="0"/>
                    <w:jc w:val="center"/>
                    <w:rPr>
                      <w:rFonts w:hint="default"/>
                      <w:color w:val="auto"/>
                      <w:kern w:val="0"/>
                      <w:szCs w:val="21"/>
                      <w:lang w:val="en-US" w:eastAsia="zh-CN"/>
                    </w:rPr>
                  </w:pPr>
                  <w:r>
                    <w:rPr>
                      <w:rFonts w:hint="eastAsia"/>
                      <w:color w:val="auto"/>
                      <w:kern w:val="0"/>
                      <w:szCs w:val="21"/>
                      <w:lang w:val="en-US" w:eastAsia="zh-CN"/>
                    </w:rPr>
                    <w:t>2</w:t>
                  </w:r>
                </w:p>
              </w:tc>
              <w:tc>
                <w:tcPr>
                  <w:tcW w:w="904" w:type="pct"/>
                  <w:tcBorders>
                    <w:top w:val="single" w:color="auto" w:sz="4" w:space="0"/>
                    <w:left w:val="single" w:color="auto" w:sz="4" w:space="0"/>
                    <w:bottom w:val="single" w:color="auto" w:sz="4" w:space="0"/>
                    <w:right w:val="single" w:color="auto" w:sz="4" w:space="0"/>
                  </w:tcBorders>
                  <w:vAlign w:val="center"/>
                </w:tcPr>
                <w:p w14:paraId="39CB2606">
                  <w:pPr>
                    <w:adjustRightInd w:val="0"/>
                    <w:jc w:val="center"/>
                    <w:rPr>
                      <w:rFonts w:hint="eastAsia" w:ascii="Times New Roman" w:hAnsi="Times New Roman" w:eastAsia="宋体" w:cs="Times New Roman"/>
                      <w:color w:val="auto"/>
                      <w:kern w:val="2"/>
                      <w:sz w:val="21"/>
                      <w:szCs w:val="21"/>
                      <w:lang w:val="en-US" w:eastAsia="zh-CN" w:bidi="ar-SA"/>
                    </w:rPr>
                  </w:pPr>
                  <w:r>
                    <w:rPr>
                      <w:rFonts w:hint="eastAsia"/>
                      <w:bCs/>
                      <w:color w:val="auto"/>
                      <w:sz w:val="21"/>
                      <w:szCs w:val="21"/>
                      <w:lang w:val="en-US" w:eastAsia="zh-CN"/>
                    </w:rPr>
                    <w:t>机油</w:t>
                  </w:r>
                </w:p>
              </w:tc>
              <w:tc>
                <w:tcPr>
                  <w:tcW w:w="946" w:type="pct"/>
                  <w:tcBorders>
                    <w:top w:val="single" w:color="auto" w:sz="4" w:space="0"/>
                    <w:left w:val="single" w:color="auto" w:sz="4" w:space="0"/>
                    <w:bottom w:val="single" w:color="auto" w:sz="4" w:space="0"/>
                    <w:right w:val="single" w:color="auto" w:sz="4" w:space="0"/>
                  </w:tcBorders>
                  <w:vAlign w:val="center"/>
                </w:tcPr>
                <w:p w14:paraId="1D4922EE">
                  <w:pPr>
                    <w:adjustRightIn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油类物质</w:t>
                  </w:r>
                </w:p>
              </w:tc>
              <w:tc>
                <w:tcPr>
                  <w:tcW w:w="961" w:type="pct"/>
                  <w:tcBorders>
                    <w:top w:val="single" w:color="auto" w:sz="4" w:space="0"/>
                    <w:left w:val="single" w:color="auto" w:sz="4" w:space="0"/>
                    <w:bottom w:val="single" w:color="auto" w:sz="4" w:space="0"/>
                    <w:right w:val="single" w:color="auto" w:sz="4" w:space="0"/>
                  </w:tcBorders>
                  <w:vAlign w:val="center"/>
                </w:tcPr>
                <w:p w14:paraId="103B170E">
                  <w:pPr>
                    <w:adjustRightIn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0.4</w:t>
                  </w:r>
                </w:p>
              </w:tc>
              <w:tc>
                <w:tcPr>
                  <w:tcW w:w="902" w:type="pct"/>
                  <w:tcBorders>
                    <w:top w:val="single" w:color="auto" w:sz="4" w:space="0"/>
                    <w:left w:val="single" w:color="auto" w:sz="4" w:space="0"/>
                    <w:bottom w:val="single" w:color="auto" w:sz="4" w:space="0"/>
                    <w:right w:val="single" w:color="auto" w:sz="4" w:space="0"/>
                  </w:tcBorders>
                  <w:vAlign w:val="center"/>
                </w:tcPr>
                <w:p w14:paraId="2F3FA5C2">
                  <w:pPr>
                    <w:adjustRightInd w:val="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2500</w:t>
                  </w:r>
                </w:p>
              </w:tc>
              <w:tc>
                <w:tcPr>
                  <w:tcW w:w="837" w:type="pct"/>
                  <w:tcBorders>
                    <w:top w:val="single" w:color="auto" w:sz="4" w:space="0"/>
                    <w:left w:val="single" w:color="auto" w:sz="4" w:space="0"/>
                    <w:bottom w:val="single" w:color="auto" w:sz="4" w:space="0"/>
                    <w:right w:val="single" w:color="auto" w:sz="4" w:space="0"/>
                  </w:tcBorders>
                  <w:vAlign w:val="center"/>
                </w:tcPr>
                <w:p w14:paraId="0B279611">
                  <w:pPr>
                    <w:keepNext w:val="0"/>
                    <w:keepLines w:val="0"/>
                    <w:widowControl/>
                    <w:suppressLineNumbers w:val="0"/>
                    <w:jc w:val="center"/>
                    <w:textAlignment w:val="center"/>
                    <w:rPr>
                      <w:rFonts w:hint="eastAsia" w:ascii="Times New Roman" w:hAnsi="Times New Roman" w:eastAsia="等线" w:cs="Times New Roman"/>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0.00016</w:t>
                  </w:r>
                </w:p>
              </w:tc>
            </w:tr>
            <w:tr w14:paraId="6ACB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62" w:type="pct"/>
                  <w:gridSpan w:val="5"/>
                  <w:tcBorders>
                    <w:top w:val="single" w:color="auto" w:sz="4" w:space="0"/>
                    <w:left w:val="single" w:color="auto" w:sz="4" w:space="0"/>
                    <w:bottom w:val="single" w:color="auto" w:sz="4" w:space="0"/>
                    <w:right w:val="single" w:color="auto" w:sz="4" w:space="0"/>
                  </w:tcBorders>
                  <w:vAlign w:val="center"/>
                </w:tcPr>
                <w:p w14:paraId="5037BBD9">
                  <w:pPr>
                    <w:snapToGrid w:val="0"/>
                    <w:jc w:val="center"/>
                    <w:rPr>
                      <w:color w:val="auto"/>
                      <w:kern w:val="0"/>
                      <w:szCs w:val="21"/>
                    </w:rPr>
                  </w:pPr>
                  <w:r>
                    <w:rPr>
                      <w:rFonts w:hint="eastAsia"/>
                      <w:color w:val="auto"/>
                      <w:kern w:val="0"/>
                      <w:szCs w:val="21"/>
                    </w:rPr>
                    <w:t>合计</w:t>
                  </w:r>
                </w:p>
              </w:tc>
              <w:tc>
                <w:tcPr>
                  <w:tcW w:w="837" w:type="pct"/>
                  <w:tcBorders>
                    <w:top w:val="single" w:color="auto" w:sz="4" w:space="0"/>
                    <w:left w:val="single" w:color="auto" w:sz="4" w:space="0"/>
                    <w:bottom w:val="single" w:color="auto" w:sz="4" w:space="0"/>
                    <w:right w:val="single" w:color="auto" w:sz="4" w:space="0"/>
                  </w:tcBorders>
                  <w:vAlign w:val="center"/>
                </w:tcPr>
                <w:p w14:paraId="58381123">
                  <w:pPr>
                    <w:widowControl/>
                    <w:jc w:val="center"/>
                    <w:rPr>
                      <w:color w:val="auto"/>
                      <w:kern w:val="0"/>
                      <w:szCs w:val="21"/>
                    </w:rPr>
                  </w:pPr>
                  <w:r>
                    <w:rPr>
                      <w:rFonts w:hint="default" w:ascii="Times New Roman" w:hAnsi="Times New Roman" w:eastAsia="宋体" w:cs="Times New Roman"/>
                      <w:i w:val="0"/>
                      <w:iCs w:val="0"/>
                      <w:color w:val="auto"/>
                      <w:kern w:val="0"/>
                      <w:sz w:val="21"/>
                      <w:szCs w:val="21"/>
                      <w:u w:val="none"/>
                      <w:lang w:val="en-US" w:eastAsia="zh-CN" w:bidi="ar"/>
                    </w:rPr>
                    <w:t>0.000164</w:t>
                  </w:r>
                </w:p>
              </w:tc>
            </w:tr>
          </w:tbl>
          <w:p w14:paraId="1AD57A15">
            <w:pPr>
              <w:snapToGrid w:val="0"/>
              <w:spacing w:line="500" w:lineRule="exact"/>
              <w:ind w:firstLine="480" w:firstLineChars="200"/>
              <w:rPr>
                <w:color w:val="auto"/>
                <w:kern w:val="0"/>
                <w:sz w:val="24"/>
              </w:rPr>
            </w:pPr>
            <w:r>
              <w:rPr>
                <w:rFonts w:hint="eastAsia"/>
                <w:color w:val="auto"/>
                <w:kern w:val="0"/>
                <w:sz w:val="24"/>
              </w:rPr>
              <w:t>由上表可见，本项目危险物质最大储存量与临界量比值小于</w:t>
            </w:r>
            <w:r>
              <w:rPr>
                <w:color w:val="auto"/>
                <w:kern w:val="0"/>
                <w:sz w:val="24"/>
              </w:rPr>
              <w:t>1</w:t>
            </w:r>
            <w:r>
              <w:rPr>
                <w:rFonts w:hint="eastAsia"/>
                <w:color w:val="auto"/>
                <w:kern w:val="0"/>
                <w:sz w:val="24"/>
              </w:rPr>
              <w:t>，该项目环境风险潜势为</w:t>
            </w:r>
            <w:r>
              <w:rPr>
                <w:color w:val="auto"/>
                <w:kern w:val="0"/>
                <w:sz w:val="24"/>
              </w:rPr>
              <w:t>Ⅰ</w:t>
            </w:r>
            <w:r>
              <w:rPr>
                <w:rFonts w:hint="eastAsia"/>
                <w:color w:val="auto"/>
                <w:kern w:val="0"/>
                <w:sz w:val="24"/>
              </w:rPr>
              <w:t>。根据《建设项目环境风险技术导则》（</w:t>
            </w:r>
            <w:r>
              <w:rPr>
                <w:color w:val="auto"/>
                <w:kern w:val="0"/>
                <w:sz w:val="24"/>
              </w:rPr>
              <w:t>HJ/T169-2018</w:t>
            </w:r>
            <w:r>
              <w:rPr>
                <w:rFonts w:hint="eastAsia"/>
                <w:color w:val="auto"/>
                <w:kern w:val="0"/>
                <w:sz w:val="24"/>
              </w:rPr>
              <w:t>）中评价等级划分依据，本项目评价工作等级为简单分析。</w:t>
            </w:r>
          </w:p>
          <w:p w14:paraId="54EECD12">
            <w:pPr>
              <w:spacing w:line="500" w:lineRule="atLeast"/>
              <w:ind w:firstLine="482"/>
              <w:rPr>
                <w:snapToGrid w:val="0"/>
                <w:color w:val="auto"/>
                <w:kern w:val="0"/>
                <w:sz w:val="24"/>
              </w:rPr>
            </w:pPr>
            <w:r>
              <w:rPr>
                <w:snapToGrid w:val="0"/>
                <w:color w:val="auto"/>
                <w:kern w:val="0"/>
                <w:sz w:val="24"/>
              </w:rPr>
              <w:t>2、环境敏感目标概况</w:t>
            </w:r>
          </w:p>
          <w:p w14:paraId="3AEF9A01">
            <w:pPr>
              <w:spacing w:line="500" w:lineRule="atLeast"/>
              <w:ind w:firstLine="482"/>
              <w:rPr>
                <w:snapToGrid w:val="0"/>
                <w:color w:val="auto"/>
                <w:kern w:val="0"/>
                <w:sz w:val="24"/>
              </w:rPr>
            </w:pPr>
            <w:r>
              <w:rPr>
                <w:rFonts w:hint="eastAsia"/>
                <w:snapToGrid w:val="0"/>
                <w:color w:val="auto"/>
                <w:kern w:val="0"/>
                <w:sz w:val="24"/>
              </w:rPr>
              <w:t>本项目位于安徽省蚌埠市龙子湖区</w:t>
            </w:r>
            <w:r>
              <w:rPr>
                <w:rFonts w:hint="eastAsia"/>
                <w:snapToGrid w:val="0"/>
                <w:color w:val="auto"/>
                <w:kern w:val="0"/>
                <w:sz w:val="24"/>
                <w:lang w:val="en-US" w:eastAsia="zh-CN"/>
              </w:rPr>
              <w:t>胜利东路9号</w:t>
            </w:r>
            <w:r>
              <w:rPr>
                <w:rFonts w:hint="eastAsia"/>
                <w:snapToGrid w:val="0"/>
                <w:color w:val="auto"/>
                <w:kern w:val="0"/>
                <w:sz w:val="24"/>
              </w:rPr>
              <w:t>，环境敏感目标分布情况详见表</w:t>
            </w:r>
            <w:r>
              <w:rPr>
                <w:snapToGrid w:val="0"/>
                <w:color w:val="auto"/>
                <w:kern w:val="0"/>
                <w:sz w:val="24"/>
              </w:rPr>
              <w:t>3-8</w:t>
            </w:r>
            <w:r>
              <w:rPr>
                <w:rFonts w:hint="eastAsia"/>
                <w:snapToGrid w:val="0"/>
                <w:color w:val="auto"/>
                <w:kern w:val="0"/>
                <w:sz w:val="24"/>
              </w:rPr>
              <w:t>。</w:t>
            </w:r>
          </w:p>
          <w:p w14:paraId="1E0D7A03">
            <w:pPr>
              <w:spacing w:line="500" w:lineRule="atLeast"/>
              <w:ind w:firstLine="482"/>
              <w:rPr>
                <w:snapToGrid w:val="0"/>
                <w:color w:val="auto"/>
                <w:kern w:val="0"/>
                <w:sz w:val="24"/>
              </w:rPr>
            </w:pPr>
            <w:r>
              <w:rPr>
                <w:snapToGrid w:val="0"/>
                <w:color w:val="auto"/>
                <w:kern w:val="0"/>
                <w:sz w:val="24"/>
              </w:rPr>
              <w:t>3、环境风险识别</w:t>
            </w:r>
          </w:p>
          <w:p w14:paraId="2621BD4A">
            <w:pPr>
              <w:snapToGrid w:val="0"/>
              <w:spacing w:line="500" w:lineRule="exact"/>
              <w:ind w:firstLine="480" w:firstLineChars="200"/>
              <w:rPr>
                <w:color w:val="auto"/>
                <w:kern w:val="0"/>
                <w:sz w:val="24"/>
              </w:rPr>
            </w:pPr>
            <w:r>
              <w:rPr>
                <w:rFonts w:hint="eastAsia"/>
                <w:color w:val="auto"/>
                <w:kern w:val="0"/>
                <w:sz w:val="24"/>
              </w:rPr>
              <w:t>本项目涉及的危险物质主要为</w:t>
            </w:r>
            <w:r>
              <w:rPr>
                <w:rFonts w:hint="eastAsia"/>
                <w:color w:val="auto"/>
                <w:kern w:val="0"/>
                <w:szCs w:val="21"/>
              </w:rPr>
              <w:t>机油</w:t>
            </w:r>
            <w:r>
              <w:rPr>
                <w:rFonts w:hint="eastAsia"/>
                <w:color w:val="auto"/>
                <w:kern w:val="0"/>
                <w:sz w:val="24"/>
              </w:rPr>
              <w:t>，风险物质分布情况及可能影响途径见下表。</w:t>
            </w:r>
          </w:p>
          <w:p w14:paraId="0A9D846F">
            <w:pPr>
              <w:snapToGrid w:val="0"/>
              <w:spacing w:after="24" w:afterLines="10" w:line="520" w:lineRule="exact"/>
              <w:jc w:val="center"/>
              <w:rPr>
                <w:b/>
                <w:bCs/>
                <w:color w:val="auto"/>
                <w:kern w:val="0"/>
                <w:sz w:val="24"/>
              </w:rPr>
            </w:pPr>
            <w:r>
              <w:rPr>
                <w:rFonts w:hint="eastAsia"/>
                <w:b/>
                <w:bCs/>
                <w:color w:val="auto"/>
                <w:kern w:val="0"/>
                <w:sz w:val="24"/>
              </w:rPr>
              <w:t>表</w:t>
            </w:r>
            <w:r>
              <w:rPr>
                <w:b/>
                <w:bCs/>
                <w:color w:val="auto"/>
                <w:kern w:val="0"/>
                <w:sz w:val="24"/>
              </w:rPr>
              <w:t xml:space="preserve">4-27 </w:t>
            </w:r>
            <w:r>
              <w:rPr>
                <w:rFonts w:hint="eastAsia"/>
                <w:b/>
                <w:bCs/>
                <w:color w:val="auto"/>
                <w:kern w:val="0"/>
                <w:sz w:val="24"/>
              </w:rPr>
              <w:t>主要危险物质分布情况及影响途径</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211"/>
              <w:gridCol w:w="1654"/>
              <w:gridCol w:w="5938"/>
            </w:tblGrid>
            <w:tr w14:paraId="5C9D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08B1C27C">
                  <w:pPr>
                    <w:snapToGrid w:val="0"/>
                    <w:jc w:val="center"/>
                    <w:rPr>
                      <w:color w:val="auto"/>
                      <w:kern w:val="0"/>
                      <w:szCs w:val="21"/>
                    </w:rPr>
                  </w:pPr>
                  <w:r>
                    <w:rPr>
                      <w:rFonts w:hint="eastAsia"/>
                      <w:color w:val="auto"/>
                      <w:kern w:val="0"/>
                      <w:szCs w:val="21"/>
                    </w:rPr>
                    <w:t>序号</w:t>
                  </w:r>
                </w:p>
              </w:tc>
              <w:tc>
                <w:tcPr>
                  <w:tcW w:w="639" w:type="pct"/>
                  <w:tcBorders>
                    <w:top w:val="single" w:color="auto" w:sz="4" w:space="0"/>
                    <w:left w:val="single" w:color="auto" w:sz="4" w:space="0"/>
                    <w:bottom w:val="single" w:color="auto" w:sz="4" w:space="0"/>
                    <w:right w:val="single" w:color="auto" w:sz="4" w:space="0"/>
                  </w:tcBorders>
                  <w:vAlign w:val="center"/>
                </w:tcPr>
                <w:p w14:paraId="6DAF8600">
                  <w:pPr>
                    <w:snapToGrid w:val="0"/>
                    <w:jc w:val="center"/>
                    <w:rPr>
                      <w:color w:val="auto"/>
                      <w:kern w:val="0"/>
                      <w:szCs w:val="21"/>
                    </w:rPr>
                  </w:pPr>
                  <w:r>
                    <w:rPr>
                      <w:rFonts w:hint="eastAsia"/>
                      <w:color w:val="auto"/>
                      <w:kern w:val="0"/>
                      <w:szCs w:val="21"/>
                    </w:rPr>
                    <w:t>名称</w:t>
                  </w:r>
                </w:p>
              </w:tc>
              <w:tc>
                <w:tcPr>
                  <w:tcW w:w="873" w:type="pct"/>
                  <w:tcBorders>
                    <w:top w:val="single" w:color="auto" w:sz="4" w:space="0"/>
                    <w:left w:val="single" w:color="auto" w:sz="4" w:space="0"/>
                    <w:bottom w:val="single" w:color="auto" w:sz="4" w:space="0"/>
                    <w:right w:val="single" w:color="auto" w:sz="4" w:space="0"/>
                  </w:tcBorders>
                  <w:vAlign w:val="center"/>
                </w:tcPr>
                <w:p w14:paraId="27D4809B">
                  <w:pPr>
                    <w:snapToGrid w:val="0"/>
                    <w:jc w:val="center"/>
                    <w:rPr>
                      <w:color w:val="auto"/>
                      <w:kern w:val="0"/>
                      <w:szCs w:val="21"/>
                    </w:rPr>
                  </w:pPr>
                  <w:r>
                    <w:rPr>
                      <w:rFonts w:hint="eastAsia"/>
                      <w:color w:val="auto"/>
                      <w:kern w:val="0"/>
                      <w:szCs w:val="21"/>
                    </w:rPr>
                    <w:t>分布情况</w:t>
                  </w:r>
                </w:p>
              </w:tc>
              <w:tc>
                <w:tcPr>
                  <w:tcW w:w="3134" w:type="pct"/>
                  <w:tcBorders>
                    <w:top w:val="single" w:color="auto" w:sz="4" w:space="0"/>
                    <w:left w:val="single" w:color="auto" w:sz="4" w:space="0"/>
                    <w:bottom w:val="single" w:color="auto" w:sz="4" w:space="0"/>
                    <w:right w:val="single" w:color="auto" w:sz="4" w:space="0"/>
                  </w:tcBorders>
                  <w:vAlign w:val="center"/>
                </w:tcPr>
                <w:p w14:paraId="1D76A930">
                  <w:pPr>
                    <w:snapToGrid w:val="0"/>
                    <w:jc w:val="center"/>
                    <w:rPr>
                      <w:color w:val="auto"/>
                      <w:kern w:val="0"/>
                      <w:szCs w:val="21"/>
                    </w:rPr>
                  </w:pPr>
                  <w:r>
                    <w:rPr>
                      <w:rFonts w:hint="eastAsia"/>
                      <w:color w:val="auto"/>
                      <w:kern w:val="0"/>
                      <w:szCs w:val="21"/>
                    </w:rPr>
                    <w:t>影响途径</w:t>
                  </w:r>
                </w:p>
              </w:tc>
            </w:tr>
            <w:tr w14:paraId="0F38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7B69B21C">
                  <w:pPr>
                    <w:snapToGrid w:val="0"/>
                    <w:jc w:val="center"/>
                    <w:rPr>
                      <w:rFonts w:hint="eastAsia" w:eastAsia="宋体"/>
                      <w:color w:val="auto"/>
                      <w:kern w:val="0"/>
                      <w:szCs w:val="21"/>
                      <w:lang w:val="en-US" w:eastAsia="zh-CN"/>
                    </w:rPr>
                  </w:pPr>
                  <w:r>
                    <w:rPr>
                      <w:rFonts w:hint="eastAsia"/>
                      <w:color w:val="auto"/>
                      <w:kern w:val="0"/>
                      <w:szCs w:val="21"/>
                      <w:lang w:val="en-US" w:eastAsia="zh-CN"/>
                    </w:rPr>
                    <w:t>1</w:t>
                  </w:r>
                </w:p>
              </w:tc>
              <w:tc>
                <w:tcPr>
                  <w:tcW w:w="639" w:type="pct"/>
                  <w:tcBorders>
                    <w:top w:val="single" w:color="auto" w:sz="4" w:space="0"/>
                    <w:left w:val="single" w:color="auto" w:sz="4" w:space="0"/>
                    <w:bottom w:val="single" w:color="auto" w:sz="4" w:space="0"/>
                    <w:right w:val="single" w:color="auto" w:sz="4" w:space="0"/>
                  </w:tcBorders>
                  <w:vAlign w:val="center"/>
                </w:tcPr>
                <w:p w14:paraId="34B2C45D">
                  <w:pPr>
                    <w:snapToGrid w:val="0"/>
                    <w:jc w:val="center"/>
                    <w:rPr>
                      <w:rFonts w:hint="eastAsia" w:eastAsia="宋体" w:cs="宋体"/>
                      <w:color w:val="auto"/>
                      <w:lang w:val="en-US" w:eastAsia="zh-CN" w:bidi="ar"/>
                    </w:rPr>
                  </w:pPr>
                  <w:r>
                    <w:rPr>
                      <w:rFonts w:hint="eastAsia" w:cs="宋体"/>
                      <w:color w:val="auto"/>
                      <w:lang w:val="en-US" w:eastAsia="zh-CN" w:bidi="ar"/>
                    </w:rPr>
                    <w:t>废机油</w:t>
                  </w:r>
                </w:p>
              </w:tc>
              <w:tc>
                <w:tcPr>
                  <w:tcW w:w="873" w:type="pct"/>
                  <w:tcBorders>
                    <w:top w:val="single" w:color="auto" w:sz="4" w:space="0"/>
                    <w:left w:val="single" w:color="auto" w:sz="4" w:space="0"/>
                    <w:bottom w:val="single" w:color="auto" w:sz="4" w:space="0"/>
                    <w:right w:val="single" w:color="auto" w:sz="4" w:space="0"/>
                  </w:tcBorders>
                  <w:vAlign w:val="center"/>
                </w:tcPr>
                <w:p w14:paraId="42766457">
                  <w:pPr>
                    <w:snapToGrid w:val="0"/>
                    <w:jc w:val="center"/>
                    <w:rPr>
                      <w:rFonts w:hint="default" w:eastAsia="宋体"/>
                      <w:color w:val="auto"/>
                      <w:kern w:val="0"/>
                      <w:szCs w:val="21"/>
                      <w:lang w:val="en-US" w:eastAsia="zh-CN"/>
                    </w:rPr>
                  </w:pPr>
                  <w:r>
                    <w:rPr>
                      <w:rFonts w:hint="eastAsia"/>
                      <w:color w:val="auto"/>
                      <w:kern w:val="0"/>
                      <w:szCs w:val="21"/>
                      <w:lang w:val="en-US" w:eastAsia="zh-CN"/>
                    </w:rPr>
                    <w:t>危废库</w:t>
                  </w:r>
                </w:p>
              </w:tc>
              <w:tc>
                <w:tcPr>
                  <w:tcW w:w="3134" w:type="pct"/>
                  <w:tcBorders>
                    <w:left w:val="single" w:color="auto" w:sz="4" w:space="0"/>
                    <w:bottom w:val="single" w:color="auto" w:sz="4" w:space="0"/>
                    <w:right w:val="single" w:color="auto" w:sz="4" w:space="0"/>
                  </w:tcBorders>
                  <w:vAlign w:val="center"/>
                </w:tcPr>
                <w:p w14:paraId="44398E8B">
                  <w:pPr>
                    <w:widowControl/>
                    <w:snapToGrid w:val="0"/>
                    <w:jc w:val="center"/>
                    <w:rPr>
                      <w:color w:val="auto"/>
                      <w:kern w:val="0"/>
                      <w:szCs w:val="21"/>
                    </w:rPr>
                  </w:pPr>
                  <w:r>
                    <w:rPr>
                      <w:rFonts w:hint="eastAsia"/>
                      <w:color w:val="auto"/>
                      <w:kern w:val="0"/>
                      <w:szCs w:val="21"/>
                    </w:rPr>
                    <w:t>发生火灾后，危险物质包装容器泄露，可溶于水组分溶于消防废水，对厂区土壤、地表水以及地下水环境造成影响；包装容器泄露后，对厂区土壤和地下水环境造成影响。</w:t>
                  </w:r>
                </w:p>
              </w:tc>
            </w:tr>
          </w:tbl>
          <w:p w14:paraId="17E5011A">
            <w:pPr>
              <w:spacing w:line="500" w:lineRule="exact"/>
              <w:ind w:firstLine="522"/>
              <w:rPr>
                <w:color w:val="auto"/>
                <w:sz w:val="24"/>
              </w:rPr>
            </w:pPr>
            <w:r>
              <w:rPr>
                <w:color w:val="auto"/>
                <w:sz w:val="24"/>
              </w:rPr>
              <w:t>此外，风险状态下会涉及到次生污染物CO，其主要化学物质安全数据见下表：</w:t>
            </w:r>
          </w:p>
          <w:p w14:paraId="1A545938">
            <w:pPr>
              <w:spacing w:after="24" w:afterLines="10" w:line="520" w:lineRule="exact"/>
              <w:jc w:val="center"/>
              <w:rPr>
                <w:b/>
                <w:bCs/>
                <w:color w:val="auto"/>
                <w:sz w:val="24"/>
              </w:rPr>
            </w:pPr>
            <w:r>
              <w:rPr>
                <w:b/>
                <w:bCs/>
                <w:color w:val="auto"/>
                <w:sz w:val="24"/>
              </w:rPr>
              <w:t>表</w:t>
            </w:r>
            <w:r>
              <w:rPr>
                <w:rFonts w:hint="eastAsia"/>
                <w:b/>
                <w:bCs/>
                <w:color w:val="auto"/>
                <w:sz w:val="24"/>
              </w:rPr>
              <w:t>4-2</w:t>
            </w:r>
            <w:r>
              <w:rPr>
                <w:b/>
                <w:bCs/>
                <w:color w:val="auto"/>
                <w:sz w:val="24"/>
              </w:rPr>
              <w:t>8  CO理化性质及危险特性表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234"/>
              <w:gridCol w:w="719"/>
              <w:gridCol w:w="1151"/>
              <w:gridCol w:w="142"/>
              <w:gridCol w:w="434"/>
              <w:gridCol w:w="1871"/>
              <w:gridCol w:w="364"/>
              <w:gridCol w:w="2168"/>
            </w:tblGrid>
            <w:tr w14:paraId="5C64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restart"/>
                  <w:tcBorders>
                    <w:top w:val="single" w:color="auto" w:sz="4" w:space="0"/>
                    <w:left w:val="single" w:color="auto" w:sz="4" w:space="0"/>
                    <w:bottom w:val="single" w:color="auto" w:sz="4" w:space="0"/>
                    <w:right w:val="single" w:color="auto" w:sz="4" w:space="0"/>
                  </w:tcBorders>
                  <w:vAlign w:val="center"/>
                </w:tcPr>
                <w:p w14:paraId="2E574E3C">
                  <w:pPr>
                    <w:pStyle w:val="24"/>
                    <w:spacing w:before="120" w:beforeLines="5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标识</w:t>
                  </w:r>
                </w:p>
              </w:tc>
              <w:tc>
                <w:tcPr>
                  <w:tcW w:w="1944" w:type="pct"/>
                  <w:gridSpan w:val="5"/>
                  <w:tcBorders>
                    <w:top w:val="single" w:color="auto" w:sz="4" w:space="0"/>
                    <w:left w:val="nil"/>
                    <w:bottom w:val="single" w:color="auto" w:sz="4" w:space="0"/>
                    <w:right w:val="single" w:color="auto" w:sz="4" w:space="0"/>
                  </w:tcBorders>
                  <w:vAlign w:val="center"/>
                </w:tcPr>
                <w:p w14:paraId="73AE3478">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名称：一氧化碳</w:t>
                  </w:r>
                </w:p>
              </w:tc>
              <w:tc>
                <w:tcPr>
                  <w:tcW w:w="1180" w:type="pct"/>
                  <w:gridSpan w:val="2"/>
                  <w:tcBorders>
                    <w:top w:val="single" w:color="auto" w:sz="4" w:space="0"/>
                    <w:left w:val="nil"/>
                    <w:bottom w:val="single" w:color="auto" w:sz="4" w:space="0"/>
                    <w:right w:val="single" w:color="auto" w:sz="4" w:space="0"/>
                  </w:tcBorders>
                  <w:vAlign w:val="center"/>
                </w:tcPr>
                <w:p w14:paraId="652D85B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分子式：CO </w:t>
                  </w:r>
                </w:p>
              </w:tc>
              <w:tc>
                <w:tcPr>
                  <w:tcW w:w="1144" w:type="pct"/>
                  <w:tcBorders>
                    <w:top w:val="single" w:color="auto" w:sz="4" w:space="0"/>
                    <w:left w:val="nil"/>
                    <w:bottom w:val="single" w:color="auto" w:sz="4" w:space="0"/>
                    <w:right w:val="single" w:color="auto" w:sz="4" w:space="0"/>
                  </w:tcBorders>
                  <w:vAlign w:val="center"/>
                </w:tcPr>
                <w:p w14:paraId="59F99025">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分子量：28.01</w:t>
                  </w:r>
                </w:p>
              </w:tc>
            </w:tr>
            <w:tr w14:paraId="44E6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30" w:type="pct"/>
                  <w:vMerge w:val="continue"/>
                  <w:tcBorders>
                    <w:top w:val="single" w:color="auto" w:sz="4" w:space="0"/>
                    <w:left w:val="single" w:color="auto" w:sz="4" w:space="0"/>
                    <w:bottom w:val="single" w:color="auto" w:sz="4" w:space="0"/>
                    <w:right w:val="single" w:color="auto" w:sz="4" w:space="0"/>
                  </w:tcBorders>
                  <w:vAlign w:val="center"/>
                </w:tcPr>
                <w:p w14:paraId="698FE018">
                  <w:pPr>
                    <w:widowControl/>
                    <w:jc w:val="left"/>
                    <w:rPr>
                      <w:color w:val="auto"/>
                      <w:szCs w:val="21"/>
                    </w:rPr>
                  </w:pPr>
                </w:p>
              </w:tc>
              <w:tc>
                <w:tcPr>
                  <w:tcW w:w="1032" w:type="pct"/>
                  <w:gridSpan w:val="2"/>
                  <w:tcBorders>
                    <w:top w:val="single" w:color="auto" w:sz="4" w:space="0"/>
                    <w:left w:val="nil"/>
                    <w:bottom w:val="single" w:color="auto" w:sz="4" w:space="0"/>
                    <w:right w:val="single" w:color="auto" w:sz="4" w:space="0"/>
                  </w:tcBorders>
                  <w:vAlign w:val="center"/>
                </w:tcPr>
                <w:p w14:paraId="32AE9EE9">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CAS号：630-08-0 </w:t>
                  </w:r>
                </w:p>
              </w:tc>
              <w:tc>
                <w:tcPr>
                  <w:tcW w:w="912" w:type="pct"/>
                  <w:gridSpan w:val="3"/>
                  <w:tcBorders>
                    <w:top w:val="single" w:color="auto" w:sz="4" w:space="0"/>
                    <w:left w:val="nil"/>
                    <w:bottom w:val="single" w:color="auto" w:sz="4" w:space="0"/>
                    <w:right w:val="single" w:color="auto" w:sz="4" w:space="0"/>
                  </w:tcBorders>
                  <w:vAlign w:val="center"/>
                </w:tcPr>
                <w:p w14:paraId="4334B10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UN编号：1016</w:t>
                  </w:r>
                </w:p>
              </w:tc>
              <w:tc>
                <w:tcPr>
                  <w:tcW w:w="1180" w:type="pct"/>
                  <w:gridSpan w:val="2"/>
                  <w:tcBorders>
                    <w:top w:val="single" w:color="auto" w:sz="4" w:space="0"/>
                    <w:left w:val="nil"/>
                    <w:bottom w:val="single" w:color="auto" w:sz="4" w:space="0"/>
                    <w:right w:val="single" w:color="auto" w:sz="4" w:space="0"/>
                  </w:tcBorders>
                  <w:vAlign w:val="center"/>
                </w:tcPr>
                <w:p w14:paraId="24807F8A">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危险货物编号21005 </w:t>
                  </w:r>
                </w:p>
              </w:tc>
              <w:tc>
                <w:tcPr>
                  <w:tcW w:w="1144" w:type="pct"/>
                  <w:tcBorders>
                    <w:top w:val="single" w:color="auto" w:sz="4" w:space="0"/>
                    <w:left w:val="nil"/>
                    <w:bottom w:val="single" w:color="auto" w:sz="4" w:space="0"/>
                    <w:right w:val="single" w:color="auto" w:sz="4" w:space="0"/>
                  </w:tcBorders>
                  <w:vAlign w:val="center"/>
                </w:tcPr>
                <w:p w14:paraId="5A42CF79">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类别：2.1类易燃气体</w:t>
                  </w:r>
                </w:p>
              </w:tc>
            </w:tr>
            <w:tr w14:paraId="749D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restart"/>
                  <w:tcBorders>
                    <w:top w:val="nil"/>
                    <w:left w:val="single" w:color="auto" w:sz="4" w:space="0"/>
                    <w:bottom w:val="single" w:color="auto" w:sz="4" w:space="0"/>
                    <w:right w:val="single" w:color="auto" w:sz="4" w:space="0"/>
                  </w:tcBorders>
                  <w:vAlign w:val="center"/>
                </w:tcPr>
                <w:p w14:paraId="2BAB607A">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理化性质</w:t>
                  </w:r>
                </w:p>
              </w:tc>
              <w:tc>
                <w:tcPr>
                  <w:tcW w:w="1944" w:type="pct"/>
                  <w:gridSpan w:val="5"/>
                  <w:tcBorders>
                    <w:top w:val="single" w:color="auto" w:sz="4" w:space="0"/>
                    <w:left w:val="nil"/>
                    <w:bottom w:val="single" w:color="auto" w:sz="4" w:space="0"/>
                    <w:right w:val="single" w:color="auto" w:sz="4" w:space="0"/>
                  </w:tcBorders>
                  <w:vAlign w:val="center"/>
                </w:tcPr>
                <w:p w14:paraId="24440CA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外观与性状：无色无臭气体</w:t>
                  </w:r>
                </w:p>
              </w:tc>
              <w:tc>
                <w:tcPr>
                  <w:tcW w:w="1180" w:type="pct"/>
                  <w:gridSpan w:val="2"/>
                  <w:tcBorders>
                    <w:top w:val="single" w:color="auto" w:sz="4" w:space="0"/>
                    <w:left w:val="nil"/>
                    <w:bottom w:val="single" w:color="auto" w:sz="4" w:space="0"/>
                    <w:right w:val="single" w:color="auto" w:sz="4" w:space="0"/>
                  </w:tcBorders>
                  <w:vAlign w:val="center"/>
                </w:tcPr>
                <w:p w14:paraId="65C931B1">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熔点（℃）:-199.1</w:t>
                  </w:r>
                </w:p>
              </w:tc>
              <w:tc>
                <w:tcPr>
                  <w:tcW w:w="1144" w:type="pct"/>
                  <w:tcBorders>
                    <w:top w:val="single" w:color="auto" w:sz="4" w:space="0"/>
                    <w:left w:val="nil"/>
                    <w:bottom w:val="single" w:color="auto" w:sz="4" w:space="0"/>
                    <w:right w:val="single" w:color="auto" w:sz="4" w:space="0"/>
                  </w:tcBorders>
                  <w:vAlign w:val="center"/>
                </w:tcPr>
                <w:p w14:paraId="68F5F194">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沸点（℃）：-191.4 </w:t>
                  </w:r>
                </w:p>
              </w:tc>
            </w:tr>
            <w:tr w14:paraId="3DB1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0B29CE22">
                  <w:pPr>
                    <w:widowControl/>
                    <w:jc w:val="left"/>
                    <w:rPr>
                      <w:color w:val="auto"/>
                      <w:szCs w:val="21"/>
                    </w:rPr>
                  </w:pPr>
                </w:p>
              </w:tc>
              <w:tc>
                <w:tcPr>
                  <w:tcW w:w="1944" w:type="pct"/>
                  <w:gridSpan w:val="5"/>
                  <w:tcBorders>
                    <w:top w:val="single" w:color="auto" w:sz="4" w:space="0"/>
                    <w:left w:val="nil"/>
                    <w:bottom w:val="single" w:color="auto" w:sz="4" w:space="0"/>
                    <w:right w:val="single" w:color="auto" w:sz="4" w:space="0"/>
                  </w:tcBorders>
                  <w:vAlign w:val="center"/>
                </w:tcPr>
                <w:p w14:paraId="546351A2">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相对密度（水=1）0.79</w:t>
                  </w:r>
                </w:p>
              </w:tc>
              <w:tc>
                <w:tcPr>
                  <w:tcW w:w="2325" w:type="pct"/>
                  <w:gridSpan w:val="3"/>
                  <w:tcBorders>
                    <w:top w:val="single" w:color="auto" w:sz="4" w:space="0"/>
                    <w:left w:val="nil"/>
                    <w:bottom w:val="single" w:color="auto" w:sz="4" w:space="0"/>
                    <w:right w:val="single" w:color="auto" w:sz="4" w:space="0"/>
                  </w:tcBorders>
                  <w:vAlign w:val="center"/>
                </w:tcPr>
                <w:p w14:paraId="7E634690">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相对密度（空气=1）0.97</w:t>
                  </w:r>
                </w:p>
              </w:tc>
            </w:tr>
            <w:tr w14:paraId="287C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38C494F5">
                  <w:pPr>
                    <w:widowControl/>
                    <w:jc w:val="left"/>
                    <w:rPr>
                      <w:color w:val="auto"/>
                      <w:szCs w:val="21"/>
                    </w:rPr>
                  </w:pPr>
                </w:p>
              </w:tc>
              <w:tc>
                <w:tcPr>
                  <w:tcW w:w="652" w:type="pct"/>
                  <w:tcBorders>
                    <w:top w:val="single" w:color="auto" w:sz="4" w:space="0"/>
                    <w:left w:val="nil"/>
                    <w:bottom w:val="single" w:color="auto" w:sz="4" w:space="0"/>
                    <w:right w:val="single" w:color="auto" w:sz="4" w:space="0"/>
                  </w:tcBorders>
                  <w:vAlign w:val="center"/>
                </w:tcPr>
                <w:p w14:paraId="42B056DB">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主要用途</w:t>
                  </w:r>
                </w:p>
              </w:tc>
              <w:tc>
                <w:tcPr>
                  <w:tcW w:w="3617" w:type="pct"/>
                  <w:gridSpan w:val="7"/>
                  <w:tcBorders>
                    <w:top w:val="single" w:color="auto" w:sz="4" w:space="0"/>
                    <w:left w:val="nil"/>
                    <w:bottom w:val="single" w:color="auto" w:sz="4" w:space="0"/>
                    <w:right w:val="single" w:color="auto" w:sz="4" w:space="0"/>
                  </w:tcBorders>
                  <w:vAlign w:val="center"/>
                </w:tcPr>
                <w:p w14:paraId="190688C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主要用于化学合成，如合成甲醇、光气等，以及用作精炼金属的还原剂</w:t>
                  </w:r>
                </w:p>
              </w:tc>
            </w:tr>
            <w:tr w14:paraId="4F12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019AD4A9">
                  <w:pPr>
                    <w:widowControl/>
                    <w:jc w:val="left"/>
                    <w:rPr>
                      <w:color w:val="auto"/>
                      <w:szCs w:val="21"/>
                    </w:rPr>
                  </w:pPr>
                </w:p>
              </w:tc>
              <w:tc>
                <w:tcPr>
                  <w:tcW w:w="652" w:type="pct"/>
                  <w:tcBorders>
                    <w:top w:val="single" w:color="auto" w:sz="4" w:space="0"/>
                    <w:left w:val="nil"/>
                    <w:bottom w:val="single" w:color="auto" w:sz="4" w:space="0"/>
                    <w:right w:val="single" w:color="auto" w:sz="4" w:space="0"/>
                  </w:tcBorders>
                  <w:vAlign w:val="center"/>
                </w:tcPr>
                <w:p w14:paraId="78AB2745">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溶解性</w:t>
                  </w:r>
                </w:p>
              </w:tc>
              <w:tc>
                <w:tcPr>
                  <w:tcW w:w="3617" w:type="pct"/>
                  <w:gridSpan w:val="7"/>
                  <w:tcBorders>
                    <w:top w:val="single" w:color="auto" w:sz="4" w:space="0"/>
                    <w:left w:val="nil"/>
                    <w:bottom w:val="single" w:color="auto" w:sz="4" w:space="0"/>
                    <w:right w:val="single" w:color="auto" w:sz="4" w:space="0"/>
                  </w:tcBorders>
                  <w:vAlign w:val="center"/>
                </w:tcPr>
                <w:p w14:paraId="65BE181D">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微溶于水，溶于乙醇、苯等名数有机溶剂。</w:t>
                  </w:r>
                </w:p>
              </w:tc>
            </w:tr>
            <w:tr w14:paraId="4B5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restart"/>
                  <w:tcBorders>
                    <w:top w:val="nil"/>
                    <w:left w:val="single" w:color="auto" w:sz="4" w:space="0"/>
                    <w:bottom w:val="single" w:color="auto" w:sz="4" w:space="0"/>
                    <w:right w:val="single" w:color="auto" w:sz="4" w:space="0"/>
                  </w:tcBorders>
                  <w:vAlign w:val="center"/>
                </w:tcPr>
                <w:p w14:paraId="51A4CF5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燃烧爆炸危险性</w:t>
                  </w:r>
                </w:p>
              </w:tc>
              <w:tc>
                <w:tcPr>
                  <w:tcW w:w="1640" w:type="pct"/>
                  <w:gridSpan w:val="3"/>
                  <w:tcBorders>
                    <w:top w:val="single" w:color="auto" w:sz="4" w:space="0"/>
                    <w:left w:val="nil"/>
                    <w:bottom w:val="single" w:color="auto" w:sz="4" w:space="0"/>
                    <w:right w:val="single" w:color="auto" w:sz="4" w:space="0"/>
                  </w:tcBorders>
                  <w:vAlign w:val="center"/>
                </w:tcPr>
                <w:p w14:paraId="7E0AF9AC">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引燃温度（℃) : 610 </w:t>
                  </w:r>
                </w:p>
              </w:tc>
              <w:tc>
                <w:tcPr>
                  <w:tcW w:w="1292" w:type="pct"/>
                  <w:gridSpan w:val="3"/>
                  <w:tcBorders>
                    <w:top w:val="single" w:color="auto" w:sz="4" w:space="0"/>
                    <w:left w:val="nil"/>
                    <w:bottom w:val="single" w:color="auto" w:sz="4" w:space="0"/>
                    <w:right w:val="single" w:color="auto" w:sz="4" w:space="0"/>
                  </w:tcBorders>
                  <w:vAlign w:val="center"/>
                </w:tcPr>
                <w:p w14:paraId="5E0B5096">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爆炸下限（V%) : 12. 5 </w:t>
                  </w:r>
                </w:p>
              </w:tc>
              <w:tc>
                <w:tcPr>
                  <w:tcW w:w="1337" w:type="pct"/>
                  <w:gridSpan w:val="2"/>
                  <w:tcBorders>
                    <w:top w:val="single" w:color="auto" w:sz="4" w:space="0"/>
                    <w:left w:val="nil"/>
                    <w:bottom w:val="single" w:color="auto" w:sz="4" w:space="0"/>
                    <w:right w:val="single" w:color="auto" w:sz="4" w:space="0"/>
                  </w:tcBorders>
                  <w:vAlign w:val="center"/>
                </w:tcPr>
                <w:p w14:paraId="21298195">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爆炸上限（V%) : 74. 2</w:t>
                  </w:r>
                </w:p>
              </w:tc>
            </w:tr>
            <w:tr w14:paraId="7137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02BBC547">
                  <w:pPr>
                    <w:widowControl/>
                    <w:jc w:val="left"/>
                    <w:rPr>
                      <w:color w:val="auto"/>
                      <w:szCs w:val="21"/>
                    </w:rPr>
                  </w:pPr>
                </w:p>
              </w:tc>
              <w:tc>
                <w:tcPr>
                  <w:tcW w:w="652" w:type="pct"/>
                  <w:tcBorders>
                    <w:top w:val="single" w:color="auto" w:sz="4" w:space="0"/>
                    <w:left w:val="nil"/>
                    <w:bottom w:val="single" w:color="auto" w:sz="4" w:space="0"/>
                    <w:right w:val="single" w:color="auto" w:sz="4" w:space="0"/>
                  </w:tcBorders>
                  <w:vAlign w:val="center"/>
                </w:tcPr>
                <w:p w14:paraId="1623DFB8">
                  <w:pPr>
                    <w:pStyle w:val="24"/>
                    <w:spacing w:before="120" w:beforeLines="5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危险特性</w:t>
                  </w:r>
                </w:p>
              </w:tc>
              <w:tc>
                <w:tcPr>
                  <w:tcW w:w="3617" w:type="pct"/>
                  <w:gridSpan w:val="7"/>
                  <w:tcBorders>
                    <w:top w:val="single" w:color="auto" w:sz="4" w:space="0"/>
                    <w:left w:val="nil"/>
                    <w:bottom w:val="single" w:color="auto" w:sz="4" w:space="0"/>
                    <w:right w:val="single" w:color="auto" w:sz="4" w:space="0"/>
                  </w:tcBorders>
                  <w:vAlign w:val="center"/>
                </w:tcPr>
                <w:p w14:paraId="51919051">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是一种易燃易爆气体，与空气混合能形成爆炸性混合物、遇明火、高热能引起燃烧爆炸。</w:t>
                  </w:r>
                </w:p>
              </w:tc>
            </w:tr>
            <w:tr w14:paraId="2A5D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7961D4BF">
                  <w:pPr>
                    <w:widowControl/>
                    <w:jc w:val="left"/>
                    <w:rPr>
                      <w:color w:val="auto"/>
                      <w:szCs w:val="21"/>
                    </w:rPr>
                  </w:pPr>
                </w:p>
              </w:tc>
              <w:tc>
                <w:tcPr>
                  <w:tcW w:w="652" w:type="pct"/>
                  <w:tcBorders>
                    <w:top w:val="single" w:color="auto" w:sz="4" w:space="0"/>
                    <w:left w:val="nil"/>
                    <w:bottom w:val="single" w:color="auto" w:sz="4" w:space="0"/>
                    <w:right w:val="single" w:color="auto" w:sz="4" w:space="0"/>
                  </w:tcBorders>
                  <w:vAlign w:val="center"/>
                </w:tcPr>
                <w:p w14:paraId="0DBF4486">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燃烧产物</w:t>
                  </w:r>
                </w:p>
              </w:tc>
              <w:tc>
                <w:tcPr>
                  <w:tcW w:w="3617" w:type="pct"/>
                  <w:gridSpan w:val="7"/>
                  <w:tcBorders>
                    <w:top w:val="single" w:color="auto" w:sz="4" w:space="0"/>
                    <w:left w:val="nil"/>
                    <w:bottom w:val="single" w:color="auto" w:sz="4" w:space="0"/>
                    <w:right w:val="single" w:color="auto" w:sz="4" w:space="0"/>
                  </w:tcBorders>
                  <w:vAlign w:val="center"/>
                </w:tcPr>
                <w:p w14:paraId="00DE60DE">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二氧化碳</w:t>
                  </w:r>
                </w:p>
              </w:tc>
            </w:tr>
            <w:tr w14:paraId="1DE5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restart"/>
                  <w:tcBorders>
                    <w:top w:val="nil"/>
                    <w:left w:val="single" w:color="auto" w:sz="4" w:space="0"/>
                    <w:bottom w:val="single" w:color="auto" w:sz="4" w:space="0"/>
                    <w:right w:val="single" w:color="auto" w:sz="4" w:space="0"/>
                  </w:tcBorders>
                  <w:vAlign w:val="center"/>
                </w:tcPr>
                <w:p w14:paraId="329C487D">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毒性</w:t>
                  </w:r>
                </w:p>
              </w:tc>
              <w:tc>
                <w:tcPr>
                  <w:tcW w:w="652" w:type="pct"/>
                  <w:vMerge w:val="restart"/>
                  <w:tcBorders>
                    <w:top w:val="nil"/>
                    <w:left w:val="nil"/>
                    <w:bottom w:val="single" w:color="auto" w:sz="4" w:space="0"/>
                    <w:right w:val="single" w:color="auto" w:sz="4" w:space="0"/>
                  </w:tcBorders>
                  <w:vAlign w:val="center"/>
                </w:tcPr>
                <w:p w14:paraId="5DDE9866">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环境标准</w:t>
                  </w:r>
                </w:p>
              </w:tc>
              <w:tc>
                <w:tcPr>
                  <w:tcW w:w="2472" w:type="pct"/>
                  <w:gridSpan w:val="6"/>
                  <w:tcBorders>
                    <w:top w:val="single" w:color="auto" w:sz="4" w:space="0"/>
                    <w:left w:val="nil"/>
                    <w:bottom w:val="single" w:color="auto" w:sz="4" w:space="0"/>
                    <w:right w:val="single" w:color="auto" w:sz="4" w:space="0"/>
                  </w:tcBorders>
                  <w:vAlign w:val="center"/>
                </w:tcPr>
                <w:p w14:paraId="3871DFDA">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中国MAC (mg/m</w:t>
                  </w:r>
                  <w:r>
                    <w:rPr>
                      <w:rFonts w:ascii="Times New Roman" w:hAnsi="Times New Roman"/>
                      <w:color w:val="auto"/>
                      <w:kern w:val="2"/>
                      <w:sz w:val="21"/>
                      <w:szCs w:val="21"/>
                      <w:vertAlign w:val="superscript"/>
                    </w:rPr>
                    <w:t>3</w:t>
                  </w:r>
                  <w:r>
                    <w:rPr>
                      <w:rFonts w:ascii="Times New Roman" w:hAnsi="Times New Roman"/>
                      <w:color w:val="auto"/>
                      <w:kern w:val="2"/>
                      <w:sz w:val="21"/>
                      <w:szCs w:val="21"/>
                    </w:rPr>
                    <w:t>)</w:t>
                  </w:r>
                </w:p>
              </w:tc>
              <w:tc>
                <w:tcPr>
                  <w:tcW w:w="1144" w:type="pct"/>
                  <w:tcBorders>
                    <w:top w:val="single" w:color="auto" w:sz="4" w:space="0"/>
                    <w:left w:val="nil"/>
                    <w:bottom w:val="single" w:color="auto" w:sz="4" w:space="0"/>
                    <w:right w:val="single" w:color="auto" w:sz="4" w:space="0"/>
                  </w:tcBorders>
                  <w:vAlign w:val="center"/>
                </w:tcPr>
                <w:p w14:paraId="217FF31D">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30</w:t>
                  </w:r>
                </w:p>
              </w:tc>
            </w:tr>
            <w:tr w14:paraId="18E9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4EFDDD31">
                  <w:pPr>
                    <w:widowControl/>
                    <w:jc w:val="left"/>
                    <w:rPr>
                      <w:color w:val="auto"/>
                      <w:szCs w:val="21"/>
                    </w:rPr>
                  </w:pPr>
                </w:p>
              </w:tc>
              <w:tc>
                <w:tcPr>
                  <w:tcW w:w="652" w:type="pct"/>
                  <w:vMerge w:val="continue"/>
                  <w:tcBorders>
                    <w:top w:val="nil"/>
                    <w:left w:val="nil"/>
                    <w:bottom w:val="single" w:color="auto" w:sz="4" w:space="0"/>
                    <w:right w:val="single" w:color="auto" w:sz="4" w:space="0"/>
                  </w:tcBorders>
                  <w:vAlign w:val="center"/>
                </w:tcPr>
                <w:p w14:paraId="56A0446D">
                  <w:pPr>
                    <w:widowControl/>
                    <w:jc w:val="left"/>
                    <w:rPr>
                      <w:color w:val="auto"/>
                      <w:szCs w:val="21"/>
                    </w:rPr>
                  </w:pPr>
                </w:p>
              </w:tc>
              <w:tc>
                <w:tcPr>
                  <w:tcW w:w="2472" w:type="pct"/>
                  <w:gridSpan w:val="6"/>
                  <w:tcBorders>
                    <w:top w:val="single" w:color="auto" w:sz="4" w:space="0"/>
                    <w:left w:val="nil"/>
                    <w:bottom w:val="single" w:color="auto" w:sz="4" w:space="0"/>
                    <w:right w:val="single" w:color="auto" w:sz="4" w:space="0"/>
                  </w:tcBorders>
                  <w:vAlign w:val="center"/>
                </w:tcPr>
                <w:p w14:paraId="220543C5">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前苏联 MAC (mg/m</w:t>
                  </w:r>
                  <w:r>
                    <w:rPr>
                      <w:rFonts w:ascii="Times New Roman" w:hAnsi="Times New Roman"/>
                      <w:color w:val="auto"/>
                      <w:kern w:val="2"/>
                      <w:sz w:val="21"/>
                      <w:szCs w:val="21"/>
                      <w:vertAlign w:val="superscript"/>
                    </w:rPr>
                    <w:t>3</w:t>
                  </w:r>
                  <w:r>
                    <w:rPr>
                      <w:rFonts w:ascii="Times New Roman" w:hAnsi="Times New Roman"/>
                      <w:color w:val="auto"/>
                      <w:kern w:val="2"/>
                      <w:sz w:val="21"/>
                      <w:szCs w:val="21"/>
                    </w:rPr>
                    <w:t>)</w:t>
                  </w:r>
                </w:p>
              </w:tc>
              <w:tc>
                <w:tcPr>
                  <w:tcW w:w="1144" w:type="pct"/>
                  <w:tcBorders>
                    <w:top w:val="single" w:color="auto" w:sz="4" w:space="0"/>
                    <w:left w:val="nil"/>
                    <w:bottom w:val="single" w:color="auto" w:sz="4" w:space="0"/>
                    <w:right w:val="single" w:color="auto" w:sz="4" w:space="0"/>
                  </w:tcBorders>
                  <w:vAlign w:val="center"/>
                </w:tcPr>
                <w:p w14:paraId="575C9BC2">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20</w:t>
                  </w:r>
                </w:p>
              </w:tc>
            </w:tr>
            <w:tr w14:paraId="2BC6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0B83593D">
                  <w:pPr>
                    <w:widowControl/>
                    <w:jc w:val="left"/>
                    <w:rPr>
                      <w:color w:val="auto"/>
                      <w:szCs w:val="21"/>
                    </w:rPr>
                  </w:pPr>
                </w:p>
              </w:tc>
              <w:tc>
                <w:tcPr>
                  <w:tcW w:w="652" w:type="pct"/>
                  <w:vMerge w:val="continue"/>
                  <w:tcBorders>
                    <w:top w:val="nil"/>
                    <w:left w:val="nil"/>
                    <w:bottom w:val="single" w:color="auto" w:sz="4" w:space="0"/>
                    <w:right w:val="single" w:color="auto" w:sz="4" w:space="0"/>
                  </w:tcBorders>
                  <w:vAlign w:val="center"/>
                </w:tcPr>
                <w:p w14:paraId="3D9C2C51">
                  <w:pPr>
                    <w:widowControl/>
                    <w:jc w:val="left"/>
                    <w:rPr>
                      <w:color w:val="auto"/>
                      <w:szCs w:val="21"/>
                    </w:rPr>
                  </w:pPr>
                </w:p>
              </w:tc>
              <w:tc>
                <w:tcPr>
                  <w:tcW w:w="1063" w:type="pct"/>
                  <w:gridSpan w:val="3"/>
                  <w:tcBorders>
                    <w:top w:val="single" w:color="auto" w:sz="4" w:space="0"/>
                    <w:left w:val="nil"/>
                    <w:bottom w:val="single" w:color="auto" w:sz="4" w:space="0"/>
                    <w:right w:val="single" w:color="auto" w:sz="4" w:space="0"/>
                  </w:tcBorders>
                  <w:vAlign w:val="center"/>
                </w:tcPr>
                <w:p w14:paraId="1230DAF0">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 xml:space="preserve">TLVTN </w:t>
                  </w:r>
                </w:p>
              </w:tc>
              <w:tc>
                <w:tcPr>
                  <w:tcW w:w="2553" w:type="pct"/>
                  <w:gridSpan w:val="4"/>
                  <w:tcBorders>
                    <w:top w:val="single" w:color="auto" w:sz="4" w:space="0"/>
                    <w:left w:val="nil"/>
                    <w:bottom w:val="single" w:color="auto" w:sz="4" w:space="0"/>
                    <w:right w:val="single" w:color="auto" w:sz="4" w:space="0"/>
                  </w:tcBorders>
                  <w:vAlign w:val="center"/>
                </w:tcPr>
                <w:p w14:paraId="175B1697">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OSHA 50ppm，57mg/m</w:t>
                  </w:r>
                  <w:r>
                    <w:rPr>
                      <w:rFonts w:ascii="Times New Roman" w:hAnsi="Times New Roman"/>
                      <w:color w:val="auto"/>
                      <w:kern w:val="2"/>
                      <w:sz w:val="21"/>
                      <w:szCs w:val="21"/>
                      <w:vertAlign w:val="superscript"/>
                    </w:rPr>
                    <w:t>3</w:t>
                  </w:r>
                  <w:r>
                    <w:rPr>
                      <w:rFonts w:ascii="Times New Roman" w:hAnsi="Times New Roman"/>
                      <w:color w:val="auto"/>
                      <w:kern w:val="2"/>
                      <w:sz w:val="21"/>
                      <w:szCs w:val="21"/>
                    </w:rPr>
                    <w:t>；ACGIH 25ppm，29mg/m</w:t>
                  </w:r>
                  <w:r>
                    <w:rPr>
                      <w:rFonts w:ascii="Times New Roman" w:hAnsi="Times New Roman"/>
                      <w:color w:val="auto"/>
                      <w:kern w:val="2"/>
                      <w:sz w:val="21"/>
                      <w:szCs w:val="21"/>
                      <w:vertAlign w:val="superscript"/>
                    </w:rPr>
                    <w:t xml:space="preserve">3 </w:t>
                  </w:r>
                </w:p>
              </w:tc>
            </w:tr>
            <w:tr w14:paraId="3358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30" w:type="pct"/>
                  <w:vMerge w:val="continue"/>
                  <w:tcBorders>
                    <w:top w:val="nil"/>
                    <w:left w:val="single" w:color="auto" w:sz="4" w:space="0"/>
                    <w:bottom w:val="single" w:color="auto" w:sz="4" w:space="0"/>
                    <w:right w:val="single" w:color="auto" w:sz="4" w:space="0"/>
                  </w:tcBorders>
                  <w:vAlign w:val="center"/>
                </w:tcPr>
                <w:p w14:paraId="74B54DEE">
                  <w:pPr>
                    <w:widowControl/>
                    <w:jc w:val="left"/>
                    <w:rPr>
                      <w:color w:val="auto"/>
                      <w:szCs w:val="21"/>
                    </w:rPr>
                  </w:pPr>
                </w:p>
              </w:tc>
              <w:tc>
                <w:tcPr>
                  <w:tcW w:w="652" w:type="pct"/>
                  <w:tcBorders>
                    <w:top w:val="single" w:color="auto" w:sz="4" w:space="0"/>
                    <w:left w:val="nil"/>
                    <w:bottom w:val="single" w:color="auto" w:sz="4" w:space="0"/>
                    <w:right w:val="single" w:color="auto" w:sz="4" w:space="0"/>
                  </w:tcBorders>
                  <w:vAlign w:val="center"/>
                </w:tcPr>
                <w:p w14:paraId="2CAD4E0C">
                  <w:pPr>
                    <w:pStyle w:val="24"/>
                    <w:spacing w:before="0" w:beforeAutospacing="0" w:after="0" w:afterAutospacing="0" w:line="320" w:lineRule="exact"/>
                    <w:jc w:val="center"/>
                    <w:rPr>
                      <w:rFonts w:ascii="Times New Roman" w:hAnsi="Times New Roman"/>
                      <w:color w:val="auto"/>
                      <w:kern w:val="2"/>
                      <w:sz w:val="21"/>
                      <w:szCs w:val="21"/>
                    </w:rPr>
                  </w:pPr>
                  <w:r>
                    <w:rPr>
                      <w:rFonts w:ascii="Times New Roman" w:hAnsi="Times New Roman"/>
                      <w:color w:val="auto"/>
                      <w:kern w:val="2"/>
                      <w:sz w:val="21"/>
                      <w:szCs w:val="21"/>
                    </w:rPr>
                    <w:t>健康危害</w:t>
                  </w:r>
                </w:p>
              </w:tc>
              <w:tc>
                <w:tcPr>
                  <w:tcW w:w="3617" w:type="pct"/>
                  <w:gridSpan w:val="7"/>
                  <w:tcBorders>
                    <w:top w:val="single" w:color="auto" w:sz="4" w:space="0"/>
                    <w:left w:val="nil"/>
                    <w:bottom w:val="single" w:color="auto" w:sz="4" w:space="0"/>
                    <w:right w:val="single" w:color="auto" w:sz="4" w:space="0"/>
                  </w:tcBorders>
                  <w:vAlign w:val="center"/>
                </w:tcPr>
                <w:p w14:paraId="115641D1">
                  <w:pPr>
                    <w:pStyle w:val="24"/>
                    <w:spacing w:before="0" w:beforeAutospacing="0" w:after="0" w:afterAutospacing="0"/>
                    <w:jc w:val="center"/>
                    <w:rPr>
                      <w:rFonts w:ascii="Times New Roman" w:hAnsi="Times New Roman"/>
                      <w:color w:val="auto"/>
                      <w:kern w:val="2"/>
                      <w:sz w:val="21"/>
                      <w:szCs w:val="21"/>
                    </w:rPr>
                  </w:pPr>
                  <w:r>
                    <w:rPr>
                      <w:rFonts w:ascii="Times New Roman" w:hAnsi="Times New Roman"/>
                      <w:color w:val="auto"/>
                      <w:kern w:val="2"/>
                      <w:sz w:val="21"/>
                      <w:szCs w:val="21"/>
                    </w:rPr>
                    <w:t>一氧化碳在血中与血红蛋白结合而造成组织缺氧。急性中毒：轻度中毒者出现头痛、头晕、耳鸣、心悸、恶心、呕吐、无力，血液碳氧直红蛋白浓度可高于10%；中度中毒者除上述症状外，还有皮肤粘膜呈樱红色、脉快、烦躁、步态不稳、浅至中度昏迷，血液碳氧血红蛋白浓度可高于30%;重度患者深度昏迷、瞳孔缩小、肌张力增强、频繁抽搐、大小便失禁、休克、肺水肿、严重心肌损害等，血液碳氧血红蛋白可高于50%, 部分患者昏迷苏醒后，约经2~60天的症状缓解期后，又可能出现迟发性脑病，以意识精神障碍、锥体系或锥体外系损害为主。慢性影响：能否造成慢性中毒及对心血管影响无定论。</w:t>
                  </w:r>
                </w:p>
              </w:tc>
            </w:tr>
          </w:tbl>
          <w:p w14:paraId="1D048C62">
            <w:pPr>
              <w:spacing w:line="500" w:lineRule="exact"/>
              <w:ind w:firstLine="522"/>
              <w:rPr>
                <w:color w:val="auto"/>
                <w:sz w:val="24"/>
              </w:rPr>
            </w:pPr>
            <w:r>
              <w:rPr>
                <w:color w:val="auto"/>
                <w:sz w:val="24"/>
              </w:rPr>
              <w:t>（2）生产系统危险性识别</w:t>
            </w:r>
          </w:p>
          <w:p w14:paraId="3EF524DA">
            <w:pPr>
              <w:spacing w:line="500" w:lineRule="exact"/>
              <w:ind w:firstLine="522"/>
              <w:rPr>
                <w:color w:val="auto"/>
                <w:sz w:val="24"/>
              </w:rPr>
            </w:pPr>
            <w:r>
              <w:rPr>
                <w:color w:val="auto"/>
                <w:sz w:val="24"/>
              </w:rPr>
              <w:fldChar w:fldCharType="begin"/>
            </w:r>
            <w:r>
              <w:rPr>
                <w:color w:val="auto"/>
                <w:sz w:val="24"/>
              </w:rPr>
              <w:instrText xml:space="preserve"> = 1 \* GB3 \* MERGEFORMAT </w:instrText>
            </w:r>
            <w:r>
              <w:rPr>
                <w:color w:val="auto"/>
                <w:sz w:val="24"/>
              </w:rPr>
              <w:fldChar w:fldCharType="separate"/>
            </w:r>
            <w:r>
              <w:rPr>
                <w:rFonts w:hint="eastAsia" w:ascii="宋体" w:hAnsi="宋体" w:cs="宋体"/>
                <w:color w:val="auto"/>
                <w:sz w:val="24"/>
              </w:rPr>
              <w:t>①</w:t>
            </w:r>
            <w:r>
              <w:rPr>
                <w:color w:val="auto"/>
                <w:sz w:val="24"/>
              </w:rPr>
              <w:fldChar w:fldCharType="end"/>
            </w:r>
            <w:r>
              <w:rPr>
                <w:color w:val="auto"/>
                <w:sz w:val="24"/>
              </w:rPr>
              <w:t>设备故障影响</w:t>
            </w:r>
          </w:p>
          <w:p w14:paraId="0C630533">
            <w:pPr>
              <w:spacing w:line="500" w:lineRule="exact"/>
              <w:ind w:firstLine="522"/>
              <w:rPr>
                <w:rFonts w:ascii="宋体" w:hAnsi="宋体"/>
                <w:color w:val="auto"/>
                <w:sz w:val="24"/>
              </w:rPr>
            </w:pPr>
            <w:r>
              <w:rPr>
                <w:color w:val="auto"/>
                <w:sz w:val="24"/>
              </w:rPr>
              <w:t>在企业生产运营过程中，可能存在腐蚀、疲劳等因素，可能造成设备的阀门、仪器仪表、管线等设备设施及连接部位损坏，导致</w:t>
            </w:r>
            <w:r>
              <w:rPr>
                <w:rFonts w:hint="eastAsia"/>
                <w:color w:val="auto"/>
                <w:sz w:val="24"/>
              </w:rPr>
              <w:t>机油</w:t>
            </w:r>
            <w:r>
              <w:rPr>
                <w:color w:val="auto"/>
                <w:sz w:val="24"/>
              </w:rPr>
              <w:t>泄漏而</w:t>
            </w:r>
            <w:r>
              <w:rPr>
                <w:rFonts w:hint="eastAsia"/>
                <w:color w:val="auto"/>
                <w:sz w:val="24"/>
              </w:rPr>
              <w:t>渗入地下水中，对地下水环境造成一定的污染</w:t>
            </w:r>
          </w:p>
          <w:p w14:paraId="13F3AB91">
            <w:pPr>
              <w:tabs>
                <w:tab w:val="left" w:pos="2999"/>
              </w:tabs>
              <w:spacing w:line="500" w:lineRule="exact"/>
              <w:ind w:firstLine="522"/>
              <w:rPr>
                <w:color w:val="auto"/>
                <w:sz w:val="24"/>
              </w:rPr>
            </w:pPr>
            <w:r>
              <w:rPr>
                <w:rFonts w:hint="eastAsia"/>
                <w:color w:val="auto"/>
                <w:sz w:val="24"/>
              </w:rPr>
              <w:fldChar w:fldCharType="begin"/>
            </w:r>
            <w:r>
              <w:rPr>
                <w:rFonts w:hint="eastAsia"/>
                <w:color w:val="auto"/>
                <w:sz w:val="24"/>
              </w:rPr>
              <w:instrText xml:space="preserve"> = 2 \* GB3 \* MERGEFORMAT </w:instrText>
            </w:r>
            <w:r>
              <w:rPr>
                <w:rFonts w:hint="eastAsia"/>
                <w:color w:val="auto"/>
                <w:sz w:val="24"/>
              </w:rPr>
              <w:fldChar w:fldCharType="separate"/>
            </w:r>
            <w:r>
              <w:rPr>
                <w:rFonts w:hint="eastAsia"/>
                <w:color w:val="auto"/>
                <w:sz w:val="24"/>
              </w:rPr>
              <w:t>②</w:t>
            </w:r>
            <w:r>
              <w:rPr>
                <w:rFonts w:hint="eastAsia"/>
                <w:color w:val="auto"/>
                <w:sz w:val="24"/>
              </w:rPr>
              <w:fldChar w:fldCharType="end"/>
            </w:r>
            <w:r>
              <w:rPr>
                <w:rFonts w:hint="eastAsia"/>
                <w:color w:val="auto"/>
                <w:sz w:val="24"/>
              </w:rPr>
              <w:t>容器破裂泄露影响</w:t>
            </w:r>
          </w:p>
          <w:p w14:paraId="11B8022B">
            <w:pPr>
              <w:tabs>
                <w:tab w:val="left" w:pos="2999"/>
              </w:tabs>
              <w:spacing w:line="500" w:lineRule="exact"/>
              <w:ind w:firstLine="522"/>
              <w:rPr>
                <w:rFonts w:ascii="宋体" w:hAnsi="宋体"/>
                <w:color w:val="auto"/>
                <w:sz w:val="24"/>
              </w:rPr>
            </w:pPr>
            <w:r>
              <w:rPr>
                <w:color w:val="auto"/>
                <w:sz w:val="24"/>
              </w:rPr>
              <w:t xml:space="preserve">本项目可能影响水环境的途径主要是由于包装容器的破损，引起液态物质的泄露，或发生火灾时，可溶于水组分溶于消防废水，通过雨水管网排入地表水体或经土壤进入地下水体，污染土壤和地下水。 </w:t>
            </w:r>
          </w:p>
          <w:p w14:paraId="7C39DCE3">
            <w:pPr>
              <w:spacing w:line="500" w:lineRule="exact"/>
              <w:ind w:firstLine="522"/>
              <w:rPr>
                <w:rFonts w:ascii="宋体" w:hAnsi="宋体"/>
                <w:color w:val="auto"/>
                <w:sz w:val="24"/>
              </w:rPr>
            </w:pPr>
            <w:r>
              <w:rPr>
                <w:rFonts w:hint="eastAsia" w:ascii="宋体" w:hAnsi="宋体"/>
                <w:color w:val="auto"/>
                <w:sz w:val="24"/>
              </w:rPr>
              <w:t>（3）危险物质向环境转移的途径识别</w:t>
            </w:r>
          </w:p>
          <w:p w14:paraId="62CFA89D">
            <w:pPr>
              <w:spacing w:line="500" w:lineRule="exact"/>
              <w:ind w:firstLine="522"/>
              <w:rPr>
                <w:rFonts w:ascii="宋体" w:hAnsi="宋体"/>
                <w:color w:val="auto"/>
                <w:sz w:val="24"/>
              </w:rPr>
            </w:pPr>
            <w:r>
              <w:rPr>
                <w:rFonts w:hint="eastAsia" w:ascii="宋体" w:hAnsi="宋体"/>
                <w:color w:val="auto"/>
                <w:sz w:val="24"/>
              </w:rPr>
              <w:t>综合上述分析，项目发生事故主要为机油泄漏渗入地下水，</w:t>
            </w:r>
            <w:r>
              <w:rPr>
                <w:color w:val="auto"/>
                <w:sz w:val="24"/>
              </w:rPr>
              <w:t>主要事故类型为污染地下水事件</w:t>
            </w:r>
            <w:r>
              <w:rPr>
                <w:rFonts w:hint="eastAsia" w:ascii="宋体" w:hAnsi="宋体"/>
                <w:color w:val="auto"/>
                <w:sz w:val="24"/>
              </w:rPr>
              <w:t>。</w:t>
            </w:r>
          </w:p>
          <w:p w14:paraId="08FAC873">
            <w:pPr>
              <w:spacing w:line="500" w:lineRule="atLeast"/>
              <w:ind w:firstLine="482"/>
              <w:rPr>
                <w:snapToGrid w:val="0"/>
                <w:color w:val="auto"/>
                <w:kern w:val="0"/>
                <w:sz w:val="24"/>
              </w:rPr>
            </w:pPr>
            <w:r>
              <w:rPr>
                <w:snapToGrid w:val="0"/>
                <w:color w:val="auto"/>
                <w:kern w:val="0"/>
                <w:sz w:val="24"/>
              </w:rPr>
              <w:t>4、环境风险分析</w:t>
            </w:r>
          </w:p>
          <w:p w14:paraId="1621909A">
            <w:pPr>
              <w:spacing w:line="500" w:lineRule="atLeast"/>
              <w:ind w:firstLine="482"/>
              <w:rPr>
                <w:snapToGrid w:val="0"/>
                <w:color w:val="auto"/>
                <w:kern w:val="0"/>
                <w:sz w:val="24"/>
              </w:rPr>
            </w:pPr>
            <w:r>
              <w:rPr>
                <w:snapToGrid w:val="0"/>
                <w:color w:val="auto"/>
                <w:kern w:val="0"/>
                <w:sz w:val="24"/>
              </w:rPr>
              <w:t>（1）环境风险防范措施</w:t>
            </w:r>
          </w:p>
          <w:p w14:paraId="75FF7EF9">
            <w:pPr>
              <w:spacing w:line="500" w:lineRule="atLeast"/>
              <w:ind w:firstLine="482"/>
              <w:rPr>
                <w:bCs/>
                <w:snapToGrid w:val="0"/>
                <w:color w:val="auto"/>
                <w:kern w:val="0"/>
                <w:sz w:val="24"/>
              </w:rPr>
            </w:pPr>
            <w:r>
              <w:rPr>
                <w:bCs/>
                <w:snapToGrid w:val="0"/>
                <w:color w:val="auto"/>
                <w:kern w:val="0"/>
                <w:sz w:val="24"/>
              </w:rPr>
              <w:t>危废库内严禁</w:t>
            </w:r>
            <w:r>
              <w:rPr>
                <w:rFonts w:hint="eastAsia"/>
                <w:bCs/>
                <w:snapToGrid w:val="0"/>
                <w:color w:val="auto"/>
                <w:kern w:val="0"/>
                <w:sz w:val="24"/>
              </w:rPr>
              <w:t>一切火源</w:t>
            </w:r>
            <w:r>
              <w:rPr>
                <w:bCs/>
                <w:snapToGrid w:val="0"/>
                <w:color w:val="auto"/>
                <w:kern w:val="0"/>
                <w:sz w:val="24"/>
              </w:rPr>
              <w:t>，物料运输储存应严格遵守操作规程。建设单位应设置专用吸烟区，严禁在工作场所吸烟；配备常用的医疗急救用品。建设单位需要对组件车间严格进行日常管理</w:t>
            </w:r>
            <w:r>
              <w:rPr>
                <w:rFonts w:hint="eastAsia"/>
                <w:bCs/>
                <w:snapToGrid w:val="0"/>
                <w:color w:val="auto"/>
                <w:kern w:val="0"/>
                <w:sz w:val="24"/>
              </w:rPr>
              <w:t>，车间配备灭火器，设置禁火标志</w:t>
            </w:r>
            <w:r>
              <w:rPr>
                <w:bCs/>
                <w:snapToGrid w:val="0"/>
                <w:color w:val="auto"/>
                <w:kern w:val="0"/>
                <w:sz w:val="24"/>
              </w:rPr>
              <w:t>及防静电措施</w:t>
            </w:r>
            <w:r>
              <w:rPr>
                <w:rFonts w:hint="eastAsia"/>
                <w:bCs/>
                <w:snapToGrid w:val="0"/>
                <w:color w:val="auto"/>
                <w:kern w:val="0"/>
                <w:sz w:val="24"/>
              </w:rPr>
              <w:t>，</w:t>
            </w:r>
            <w:r>
              <w:rPr>
                <w:bCs/>
                <w:snapToGrid w:val="0"/>
                <w:color w:val="auto"/>
                <w:kern w:val="0"/>
                <w:sz w:val="24"/>
              </w:rPr>
              <w:t>减少因电气设备使用不当</w:t>
            </w:r>
            <w:r>
              <w:rPr>
                <w:rFonts w:hint="eastAsia"/>
                <w:bCs/>
                <w:snapToGrid w:val="0"/>
                <w:color w:val="auto"/>
                <w:kern w:val="0"/>
                <w:sz w:val="24"/>
              </w:rPr>
              <w:t>，</w:t>
            </w:r>
            <w:r>
              <w:rPr>
                <w:bCs/>
                <w:snapToGrid w:val="0"/>
                <w:color w:val="auto"/>
                <w:kern w:val="0"/>
                <w:sz w:val="24"/>
              </w:rPr>
              <w:t>仓库管理不当引发火灾的风险</w:t>
            </w:r>
            <w:r>
              <w:rPr>
                <w:rFonts w:hint="eastAsia"/>
                <w:bCs/>
                <w:snapToGrid w:val="0"/>
                <w:color w:val="auto"/>
                <w:kern w:val="0"/>
                <w:sz w:val="24"/>
              </w:rPr>
              <w:t>，</w:t>
            </w:r>
            <w:r>
              <w:rPr>
                <w:bCs/>
                <w:snapToGrid w:val="0"/>
                <w:color w:val="auto"/>
                <w:kern w:val="0"/>
                <w:sz w:val="24"/>
              </w:rPr>
              <w:t>同时应加强管理</w:t>
            </w:r>
            <w:r>
              <w:rPr>
                <w:rFonts w:hint="eastAsia"/>
                <w:bCs/>
                <w:snapToGrid w:val="0"/>
                <w:color w:val="auto"/>
                <w:kern w:val="0"/>
                <w:sz w:val="24"/>
              </w:rPr>
              <w:t>，</w:t>
            </w:r>
            <w:r>
              <w:rPr>
                <w:bCs/>
                <w:snapToGrid w:val="0"/>
                <w:color w:val="auto"/>
                <w:kern w:val="0"/>
                <w:sz w:val="24"/>
              </w:rPr>
              <w:t>制定严格的操作规程</w:t>
            </w:r>
            <w:r>
              <w:rPr>
                <w:rFonts w:hint="eastAsia"/>
                <w:bCs/>
                <w:snapToGrid w:val="0"/>
                <w:color w:val="auto"/>
                <w:kern w:val="0"/>
                <w:sz w:val="24"/>
              </w:rPr>
              <w:t>，</w:t>
            </w:r>
            <w:r>
              <w:rPr>
                <w:bCs/>
                <w:snapToGrid w:val="0"/>
                <w:color w:val="auto"/>
                <w:kern w:val="0"/>
                <w:sz w:val="24"/>
              </w:rPr>
              <w:t>加强作业工人的安全教育</w:t>
            </w:r>
            <w:r>
              <w:rPr>
                <w:rFonts w:hint="eastAsia"/>
                <w:bCs/>
                <w:snapToGrid w:val="0"/>
                <w:color w:val="auto"/>
                <w:kern w:val="0"/>
                <w:sz w:val="24"/>
              </w:rPr>
              <w:t>，</w:t>
            </w:r>
            <w:r>
              <w:rPr>
                <w:bCs/>
                <w:snapToGrid w:val="0"/>
                <w:color w:val="auto"/>
                <w:kern w:val="0"/>
                <w:sz w:val="24"/>
              </w:rPr>
              <w:t>杜绝工作失误造成的事故</w:t>
            </w:r>
            <w:r>
              <w:rPr>
                <w:rFonts w:hint="eastAsia"/>
                <w:bCs/>
                <w:snapToGrid w:val="0"/>
                <w:color w:val="auto"/>
                <w:kern w:val="0"/>
                <w:sz w:val="24"/>
              </w:rPr>
              <w:t>，降低火灾发生的概率。</w:t>
            </w:r>
          </w:p>
          <w:p w14:paraId="58209E06">
            <w:pPr>
              <w:spacing w:line="500" w:lineRule="atLeast"/>
              <w:ind w:firstLine="482"/>
              <w:rPr>
                <w:bCs/>
                <w:snapToGrid w:val="0"/>
                <w:color w:val="auto"/>
                <w:kern w:val="0"/>
                <w:sz w:val="24"/>
              </w:rPr>
            </w:pPr>
            <w:r>
              <w:rPr>
                <w:bCs/>
                <w:snapToGrid w:val="0"/>
                <w:color w:val="auto"/>
                <w:kern w:val="0"/>
                <w:sz w:val="24"/>
              </w:rPr>
              <w:t>建设单位应制定突发环境事件应急预案，当事故或火灾等发生时，立即启动应急预案。</w:t>
            </w:r>
          </w:p>
          <w:p w14:paraId="248344C8">
            <w:pPr>
              <w:spacing w:line="500" w:lineRule="atLeast"/>
              <w:ind w:firstLine="482"/>
              <w:rPr>
                <w:bCs/>
                <w:snapToGrid w:val="0"/>
                <w:color w:val="auto"/>
                <w:kern w:val="0"/>
                <w:sz w:val="24"/>
              </w:rPr>
            </w:pPr>
            <w:r>
              <w:rPr>
                <w:bCs/>
                <w:snapToGrid w:val="0"/>
                <w:color w:val="auto"/>
                <w:kern w:val="0"/>
                <w:sz w:val="24"/>
              </w:rPr>
              <w:t>危险废物暂存间地面及裙角应做耐腐蚀硬化、防渗漏处理，且表面无裂隙，所用的材料符合危险废物暂存的要求；危险废物暂存于密闭容器中，并在容器外表设置环境保护图形标志和警示标志。本项目危废库地面需进行重点防渗，且存放</w:t>
            </w:r>
            <w:r>
              <w:rPr>
                <w:rFonts w:hint="eastAsia"/>
                <w:color w:val="auto"/>
                <w:sz w:val="24"/>
              </w:rPr>
              <w:t>机油</w:t>
            </w:r>
            <w:r>
              <w:rPr>
                <w:rFonts w:hint="eastAsia"/>
                <w:color w:val="auto"/>
                <w:sz w:val="24"/>
                <w:lang w:val="en-US" w:eastAsia="zh-CN"/>
              </w:rPr>
              <w:t>处</w:t>
            </w:r>
            <w:r>
              <w:rPr>
                <w:bCs/>
                <w:snapToGrid w:val="0"/>
                <w:color w:val="auto"/>
                <w:kern w:val="0"/>
                <w:sz w:val="24"/>
              </w:rPr>
              <w:t>设有托盘(托盘容积0.2m</w:t>
            </w:r>
            <w:r>
              <w:rPr>
                <w:bCs/>
                <w:snapToGrid w:val="0"/>
                <w:color w:val="auto"/>
                <w:kern w:val="0"/>
                <w:sz w:val="24"/>
                <w:vertAlign w:val="superscript"/>
              </w:rPr>
              <w:t>3</w:t>
            </w:r>
            <w:r>
              <w:rPr>
                <w:bCs/>
                <w:snapToGrid w:val="0"/>
                <w:color w:val="auto"/>
                <w:kern w:val="0"/>
                <w:sz w:val="24"/>
              </w:rPr>
              <w:t>)</w:t>
            </w:r>
            <w:r>
              <w:rPr>
                <w:rFonts w:hint="eastAsia"/>
                <w:bCs/>
                <w:snapToGrid w:val="0"/>
                <w:color w:val="auto"/>
                <w:kern w:val="0"/>
                <w:sz w:val="24"/>
              </w:rPr>
              <w:t>，</w:t>
            </w:r>
            <w:r>
              <w:rPr>
                <w:color w:val="auto"/>
                <w:sz w:val="24"/>
              </w:rPr>
              <w:t>可有效防止漏液溢流直接进入周边地表水水体，对地表水造成污染</w:t>
            </w:r>
            <w:r>
              <w:rPr>
                <w:rFonts w:hint="eastAsia"/>
                <w:bCs/>
                <w:snapToGrid w:val="0"/>
                <w:color w:val="auto"/>
                <w:kern w:val="0"/>
                <w:sz w:val="24"/>
              </w:rPr>
              <w:t>。</w:t>
            </w:r>
          </w:p>
          <w:p w14:paraId="3DA14923">
            <w:pPr>
              <w:spacing w:line="500" w:lineRule="atLeast"/>
              <w:ind w:firstLine="482"/>
              <w:rPr>
                <w:bCs/>
                <w:snapToGrid w:val="0"/>
                <w:color w:val="auto"/>
                <w:kern w:val="0"/>
                <w:sz w:val="24"/>
              </w:rPr>
            </w:pPr>
            <w:r>
              <w:rPr>
                <w:bCs/>
                <w:snapToGrid w:val="0"/>
                <w:color w:val="auto"/>
                <w:kern w:val="0"/>
                <w:sz w:val="24"/>
              </w:rPr>
              <w:t>定期进行安全环保宣传教育以及紧急事故模拟演习，提高事故应变能力。</w:t>
            </w:r>
          </w:p>
          <w:p w14:paraId="372BCAC8">
            <w:pPr>
              <w:spacing w:line="500" w:lineRule="atLeast"/>
              <w:ind w:firstLine="482"/>
              <w:rPr>
                <w:snapToGrid w:val="0"/>
                <w:color w:val="auto"/>
                <w:kern w:val="0"/>
                <w:sz w:val="24"/>
              </w:rPr>
            </w:pPr>
            <w:r>
              <w:rPr>
                <w:snapToGrid w:val="0"/>
                <w:color w:val="auto"/>
                <w:kern w:val="0"/>
                <w:sz w:val="24"/>
              </w:rPr>
              <w:t>（2）事故应急措施</w:t>
            </w:r>
          </w:p>
          <w:p w14:paraId="0569E2A0">
            <w:pPr>
              <w:spacing w:line="500" w:lineRule="atLeast"/>
              <w:ind w:firstLine="482"/>
              <w:rPr>
                <w:snapToGrid w:val="0"/>
                <w:color w:val="auto"/>
                <w:kern w:val="0"/>
                <w:sz w:val="24"/>
              </w:rPr>
            </w:pPr>
            <w:r>
              <w:rPr>
                <w:rFonts w:hint="eastAsia"/>
                <w:snapToGrid w:val="0"/>
                <w:color w:val="auto"/>
                <w:kern w:val="0"/>
                <w:sz w:val="24"/>
              </w:rPr>
              <w:t>①</w:t>
            </w:r>
            <w:r>
              <w:rPr>
                <w:snapToGrid w:val="0"/>
                <w:color w:val="auto"/>
                <w:kern w:val="0"/>
                <w:sz w:val="24"/>
              </w:rPr>
              <w:t>火灾环境事故</w:t>
            </w:r>
          </w:p>
          <w:p w14:paraId="488E12B5">
            <w:pPr>
              <w:spacing w:line="500" w:lineRule="atLeast"/>
              <w:ind w:firstLine="482"/>
              <w:rPr>
                <w:snapToGrid w:val="0"/>
                <w:color w:val="auto"/>
                <w:kern w:val="0"/>
                <w:sz w:val="24"/>
              </w:rPr>
            </w:pPr>
            <w:r>
              <w:rPr>
                <w:snapToGrid w:val="0"/>
                <w:color w:val="auto"/>
                <w:kern w:val="0"/>
                <w:sz w:val="24"/>
              </w:rPr>
              <w:t>发生火灾时，应及时采取相应的灭火措施并疏散厂内员工，必要时启动突发事故应急预案，及时疏散周围居民。事故发生时，救援人员必须佩戴面具，同时穿好工作服，迅速判明事故当时的风向，可利用风标、旗帜等辨明风向，向上风向撤离，尽可能向侧、逆风向转移。事故发生后，相关部门要制定污染监测计划，对可能污染进行监测，根据现场监测结果，确定被转移、疏散群众返回时间，直至无异常方可停止监测工作。</w:t>
            </w:r>
          </w:p>
          <w:p w14:paraId="3F7A88A2">
            <w:pPr>
              <w:spacing w:line="500" w:lineRule="atLeast"/>
              <w:ind w:firstLine="482"/>
              <w:rPr>
                <w:snapToGrid w:val="0"/>
                <w:color w:val="auto"/>
                <w:kern w:val="0"/>
                <w:sz w:val="24"/>
              </w:rPr>
            </w:pPr>
            <w:r>
              <w:rPr>
                <w:snapToGrid w:val="0"/>
                <w:color w:val="auto"/>
                <w:kern w:val="0"/>
                <w:sz w:val="24"/>
              </w:rPr>
              <w:t>综上，项目应该严格按照消防及安监部门的要求，做好防范措施，建立健全的公司突发环境事故应急组织机构，以便采取更有效的措施来监测灾情及防止污染事故的进一步扩散。</w:t>
            </w:r>
          </w:p>
          <w:p w14:paraId="01E4D6BB">
            <w:pPr>
              <w:spacing w:line="500" w:lineRule="atLeast"/>
              <w:ind w:firstLine="482"/>
              <w:rPr>
                <w:snapToGrid w:val="0"/>
                <w:color w:val="auto"/>
                <w:kern w:val="0"/>
                <w:sz w:val="24"/>
              </w:rPr>
            </w:pPr>
            <w:r>
              <w:rPr>
                <w:snapToGrid w:val="0"/>
                <w:color w:val="auto"/>
                <w:kern w:val="0"/>
                <w:sz w:val="24"/>
              </w:rPr>
              <w:t>本项目环境风险简单分析内容见下表：</w:t>
            </w:r>
          </w:p>
          <w:p w14:paraId="6CAA8006">
            <w:pPr>
              <w:spacing w:line="500" w:lineRule="atLeast"/>
              <w:ind w:firstLine="482"/>
              <w:rPr>
                <w:snapToGrid w:val="0"/>
                <w:color w:val="auto"/>
                <w:kern w:val="0"/>
                <w:sz w:val="24"/>
              </w:rPr>
            </w:pPr>
            <w:r>
              <w:rPr>
                <w:snapToGrid w:val="0"/>
                <w:color w:val="auto"/>
                <w:kern w:val="0"/>
                <w:sz w:val="24"/>
              </w:rPr>
              <w:t>5、分析结论</w:t>
            </w:r>
          </w:p>
          <w:p w14:paraId="27AF47A8">
            <w:pPr>
              <w:spacing w:line="500" w:lineRule="atLeast"/>
              <w:ind w:firstLine="482"/>
              <w:rPr>
                <w:snapToGrid w:val="0"/>
                <w:color w:val="auto"/>
                <w:kern w:val="0"/>
                <w:sz w:val="24"/>
              </w:rPr>
            </w:pPr>
            <w:r>
              <w:rPr>
                <w:snapToGrid w:val="0"/>
                <w:color w:val="auto"/>
                <w:kern w:val="0"/>
                <w:sz w:val="24"/>
              </w:rPr>
              <w:t>通过以上分析可以看出，本项目在确保环境风险防范措施的基础上，在认真落实本报告提出的各项风险防范和应急措施后，本项目的风险处于可接受的水平。</w:t>
            </w:r>
          </w:p>
          <w:p w14:paraId="791B9083">
            <w:pPr>
              <w:spacing w:line="500" w:lineRule="atLeast"/>
              <w:ind w:firstLine="482"/>
              <w:rPr>
                <w:snapToGrid w:val="0"/>
                <w:color w:val="auto"/>
                <w:kern w:val="0"/>
                <w:sz w:val="24"/>
              </w:rPr>
            </w:pPr>
            <w:r>
              <w:rPr>
                <w:snapToGrid w:val="0"/>
                <w:color w:val="auto"/>
                <w:kern w:val="0"/>
                <w:sz w:val="24"/>
              </w:rPr>
              <w:t>本项目环境风险简单分析内容见下表：</w:t>
            </w:r>
          </w:p>
          <w:p w14:paraId="404475E0">
            <w:pPr>
              <w:spacing w:line="500" w:lineRule="exact"/>
              <w:ind w:firstLine="482"/>
              <w:jc w:val="center"/>
              <w:rPr>
                <w:b/>
                <w:snapToGrid w:val="0"/>
                <w:color w:val="auto"/>
                <w:kern w:val="0"/>
                <w:sz w:val="24"/>
              </w:rPr>
            </w:pPr>
            <w:r>
              <w:rPr>
                <w:b/>
                <w:snapToGrid w:val="0"/>
                <w:color w:val="auto"/>
                <w:kern w:val="0"/>
                <w:sz w:val="24"/>
              </w:rPr>
              <w:t>表4-29  建设项目环境风险简单分析内容表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596"/>
              <w:gridCol w:w="1390"/>
              <w:gridCol w:w="1000"/>
              <w:gridCol w:w="862"/>
              <w:gridCol w:w="521"/>
              <w:gridCol w:w="449"/>
              <w:gridCol w:w="1943"/>
            </w:tblGrid>
            <w:tr w14:paraId="1E30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16169F07">
                  <w:pPr>
                    <w:jc w:val="center"/>
                    <w:rPr>
                      <w:color w:val="auto"/>
                      <w:kern w:val="0"/>
                    </w:rPr>
                  </w:pPr>
                  <w:r>
                    <w:rPr>
                      <w:rFonts w:hint="eastAsia"/>
                      <w:color w:val="auto"/>
                    </w:rPr>
                    <w:t>建设项目名称</w:t>
                  </w:r>
                </w:p>
              </w:tc>
              <w:tc>
                <w:tcPr>
                  <w:tcW w:w="4098" w:type="pct"/>
                  <w:gridSpan w:val="7"/>
                  <w:tcBorders>
                    <w:top w:val="single" w:color="auto" w:sz="4" w:space="0"/>
                    <w:left w:val="single" w:color="auto" w:sz="4" w:space="0"/>
                    <w:bottom w:val="single" w:color="auto" w:sz="4" w:space="0"/>
                    <w:right w:val="single" w:color="auto" w:sz="4" w:space="0"/>
                  </w:tcBorders>
                  <w:vAlign w:val="center"/>
                </w:tcPr>
                <w:p w14:paraId="72AB127A">
                  <w:pPr>
                    <w:jc w:val="center"/>
                    <w:rPr>
                      <w:rFonts w:hint="eastAsia" w:eastAsia="宋体"/>
                      <w:color w:val="auto"/>
                      <w:lang w:eastAsia="zh-CN"/>
                    </w:rPr>
                  </w:pPr>
                  <w:r>
                    <w:rPr>
                      <w:rFonts w:hint="eastAsia"/>
                      <w:color w:val="auto"/>
                      <w:lang w:eastAsia="zh-CN"/>
                    </w:rPr>
                    <w:t>安徽中江材料科技有限公司年产5000吨化妆品级抗紫外线球形复合功能填料生产线项目</w:t>
                  </w:r>
                </w:p>
              </w:tc>
            </w:tr>
            <w:tr w14:paraId="237C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6B6DEB00">
                  <w:pPr>
                    <w:jc w:val="center"/>
                    <w:rPr>
                      <w:color w:val="auto"/>
                    </w:rPr>
                  </w:pPr>
                  <w:r>
                    <w:rPr>
                      <w:rFonts w:hint="eastAsia"/>
                      <w:color w:val="auto"/>
                    </w:rPr>
                    <w:t>建设地点</w:t>
                  </w:r>
                </w:p>
              </w:tc>
              <w:tc>
                <w:tcPr>
                  <w:tcW w:w="843" w:type="pct"/>
                  <w:tcBorders>
                    <w:top w:val="single" w:color="auto" w:sz="4" w:space="0"/>
                    <w:left w:val="single" w:color="auto" w:sz="4" w:space="0"/>
                    <w:bottom w:val="single" w:color="auto" w:sz="4" w:space="0"/>
                    <w:right w:val="single" w:color="auto" w:sz="4" w:space="0"/>
                  </w:tcBorders>
                  <w:vAlign w:val="center"/>
                </w:tcPr>
                <w:p w14:paraId="036F1591">
                  <w:pPr>
                    <w:jc w:val="center"/>
                    <w:rPr>
                      <w:color w:val="auto"/>
                    </w:rPr>
                  </w:pPr>
                  <w:r>
                    <w:rPr>
                      <w:rFonts w:hint="eastAsia"/>
                      <w:color w:val="auto"/>
                    </w:rPr>
                    <w:t>（安徽）省</w:t>
                  </w:r>
                </w:p>
              </w:tc>
              <w:tc>
                <w:tcPr>
                  <w:tcW w:w="734" w:type="pct"/>
                  <w:tcBorders>
                    <w:top w:val="single" w:color="auto" w:sz="4" w:space="0"/>
                    <w:left w:val="single" w:color="auto" w:sz="4" w:space="0"/>
                    <w:bottom w:val="single" w:color="auto" w:sz="4" w:space="0"/>
                    <w:right w:val="single" w:color="auto" w:sz="4" w:space="0"/>
                  </w:tcBorders>
                  <w:vAlign w:val="center"/>
                </w:tcPr>
                <w:p w14:paraId="13352797">
                  <w:pPr>
                    <w:jc w:val="center"/>
                    <w:rPr>
                      <w:color w:val="auto"/>
                      <w:szCs w:val="21"/>
                    </w:rPr>
                  </w:pPr>
                  <w:r>
                    <w:rPr>
                      <w:rFonts w:hint="eastAsia"/>
                      <w:color w:val="auto"/>
                      <w:szCs w:val="21"/>
                    </w:rPr>
                    <w:t>（蚌埠）市</w:t>
                  </w:r>
                </w:p>
              </w:tc>
              <w:tc>
                <w:tcPr>
                  <w:tcW w:w="983" w:type="pct"/>
                  <w:gridSpan w:val="2"/>
                  <w:tcBorders>
                    <w:top w:val="single" w:color="auto" w:sz="4" w:space="0"/>
                    <w:left w:val="single" w:color="auto" w:sz="4" w:space="0"/>
                    <w:bottom w:val="single" w:color="auto" w:sz="4" w:space="0"/>
                    <w:right w:val="single" w:color="auto" w:sz="4" w:space="0"/>
                  </w:tcBorders>
                  <w:vAlign w:val="center"/>
                </w:tcPr>
                <w:p w14:paraId="5A7274C2">
                  <w:pPr>
                    <w:jc w:val="center"/>
                    <w:rPr>
                      <w:color w:val="auto"/>
                      <w:szCs w:val="21"/>
                    </w:rPr>
                  </w:pPr>
                  <w:r>
                    <w:rPr>
                      <w:rFonts w:hint="eastAsia"/>
                      <w:color w:val="auto"/>
                      <w:szCs w:val="21"/>
                    </w:rPr>
                    <w:t>（龙子湖）区</w:t>
                  </w:r>
                </w:p>
              </w:tc>
              <w:tc>
                <w:tcPr>
                  <w:tcW w:w="512" w:type="pct"/>
                  <w:gridSpan w:val="2"/>
                  <w:tcBorders>
                    <w:top w:val="single" w:color="auto" w:sz="4" w:space="0"/>
                    <w:left w:val="single" w:color="auto" w:sz="4" w:space="0"/>
                    <w:bottom w:val="single" w:color="auto" w:sz="4" w:space="0"/>
                    <w:right w:val="single" w:color="auto" w:sz="4" w:space="0"/>
                  </w:tcBorders>
                  <w:vAlign w:val="center"/>
                </w:tcPr>
                <w:p w14:paraId="1DBEBE67">
                  <w:pPr>
                    <w:jc w:val="center"/>
                    <w:rPr>
                      <w:color w:val="auto"/>
                      <w:szCs w:val="21"/>
                    </w:rPr>
                  </w:pPr>
                  <w:r>
                    <w:rPr>
                      <w:rFonts w:hint="eastAsia"/>
                      <w:color w:val="auto"/>
                      <w:szCs w:val="21"/>
                    </w:rPr>
                    <w:t>（</w:t>
                  </w:r>
                  <w:r>
                    <w:rPr>
                      <w:color w:val="auto"/>
                      <w:szCs w:val="21"/>
                    </w:rPr>
                    <w:t>/</w:t>
                  </w:r>
                  <w:r>
                    <w:rPr>
                      <w:rFonts w:hint="eastAsia"/>
                      <w:color w:val="auto"/>
                      <w:szCs w:val="21"/>
                    </w:rPr>
                    <w:t>）县</w:t>
                  </w:r>
                </w:p>
              </w:tc>
              <w:tc>
                <w:tcPr>
                  <w:tcW w:w="1027" w:type="pct"/>
                  <w:tcBorders>
                    <w:top w:val="single" w:color="auto" w:sz="4" w:space="0"/>
                    <w:left w:val="single" w:color="auto" w:sz="4" w:space="0"/>
                    <w:bottom w:val="single" w:color="auto" w:sz="4" w:space="0"/>
                    <w:right w:val="single" w:color="auto" w:sz="4" w:space="0"/>
                  </w:tcBorders>
                  <w:vAlign w:val="center"/>
                </w:tcPr>
                <w:p w14:paraId="65C6F37E">
                  <w:pPr>
                    <w:ind w:left="-105" w:leftChars="-50" w:right="-105" w:rightChars="-50"/>
                    <w:jc w:val="center"/>
                    <w:rPr>
                      <w:color w:val="auto"/>
                      <w:szCs w:val="21"/>
                    </w:rPr>
                  </w:pPr>
                  <w:r>
                    <w:rPr>
                      <w:rFonts w:hint="eastAsia"/>
                      <w:color w:val="auto"/>
                      <w:szCs w:val="21"/>
                    </w:rPr>
                    <w:t>（高铁工贸园）园区</w:t>
                  </w:r>
                </w:p>
              </w:tc>
            </w:tr>
            <w:tr w14:paraId="187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0447DE90">
                  <w:pPr>
                    <w:jc w:val="center"/>
                    <w:rPr>
                      <w:color w:val="auto"/>
                    </w:rPr>
                  </w:pPr>
                  <w:r>
                    <w:rPr>
                      <w:rFonts w:hint="eastAsia"/>
                      <w:color w:val="auto"/>
                    </w:rPr>
                    <w:t>地理坐标</w:t>
                  </w:r>
                </w:p>
              </w:tc>
              <w:tc>
                <w:tcPr>
                  <w:tcW w:w="843" w:type="pct"/>
                  <w:tcBorders>
                    <w:top w:val="single" w:color="auto" w:sz="4" w:space="0"/>
                    <w:left w:val="single" w:color="auto" w:sz="4" w:space="0"/>
                    <w:bottom w:val="single" w:color="auto" w:sz="4" w:space="0"/>
                    <w:right w:val="single" w:color="auto" w:sz="4" w:space="0"/>
                  </w:tcBorders>
                  <w:vAlign w:val="center"/>
                </w:tcPr>
                <w:p w14:paraId="62A135BA">
                  <w:pPr>
                    <w:widowControl/>
                    <w:jc w:val="center"/>
                    <w:rPr>
                      <w:color w:val="auto"/>
                    </w:rPr>
                  </w:pPr>
                  <w:r>
                    <w:rPr>
                      <w:rFonts w:hint="eastAsia"/>
                      <w:color w:val="auto"/>
                    </w:rPr>
                    <w:t>经度</w:t>
                  </w:r>
                </w:p>
              </w:tc>
              <w:tc>
                <w:tcPr>
                  <w:tcW w:w="1262" w:type="pct"/>
                  <w:gridSpan w:val="2"/>
                  <w:tcBorders>
                    <w:top w:val="single" w:color="auto" w:sz="4" w:space="0"/>
                    <w:left w:val="single" w:color="auto" w:sz="4" w:space="0"/>
                    <w:bottom w:val="single" w:color="auto" w:sz="4" w:space="0"/>
                    <w:right w:val="single" w:color="auto" w:sz="4" w:space="0"/>
                  </w:tcBorders>
                  <w:vAlign w:val="center"/>
                </w:tcPr>
                <w:p w14:paraId="14D76806">
                  <w:pPr>
                    <w:widowControl/>
                    <w:jc w:val="center"/>
                    <w:rPr>
                      <w:color w:val="auto"/>
                    </w:rPr>
                  </w:pPr>
                  <w:r>
                    <w:rPr>
                      <w:rFonts w:hint="eastAsia"/>
                      <w:color w:val="auto"/>
                    </w:rPr>
                    <w:t>117度28分2.457秒</w:t>
                  </w:r>
                </w:p>
              </w:tc>
              <w:tc>
                <w:tcPr>
                  <w:tcW w:w="730" w:type="pct"/>
                  <w:gridSpan w:val="2"/>
                  <w:tcBorders>
                    <w:top w:val="single" w:color="auto" w:sz="4" w:space="0"/>
                    <w:left w:val="single" w:color="auto" w:sz="4" w:space="0"/>
                    <w:bottom w:val="single" w:color="auto" w:sz="4" w:space="0"/>
                    <w:right w:val="single" w:color="auto" w:sz="4" w:space="0"/>
                  </w:tcBorders>
                  <w:vAlign w:val="center"/>
                </w:tcPr>
                <w:p w14:paraId="5F686313">
                  <w:pPr>
                    <w:widowControl/>
                    <w:jc w:val="center"/>
                    <w:rPr>
                      <w:color w:val="auto"/>
                    </w:rPr>
                  </w:pPr>
                  <w:r>
                    <w:rPr>
                      <w:rFonts w:hint="eastAsia"/>
                      <w:color w:val="auto"/>
                    </w:rPr>
                    <w:t>纬度</w:t>
                  </w:r>
                </w:p>
              </w:tc>
              <w:tc>
                <w:tcPr>
                  <w:tcW w:w="1263" w:type="pct"/>
                  <w:gridSpan w:val="2"/>
                  <w:tcBorders>
                    <w:top w:val="single" w:color="auto" w:sz="4" w:space="0"/>
                    <w:left w:val="single" w:color="auto" w:sz="4" w:space="0"/>
                    <w:bottom w:val="single" w:color="auto" w:sz="4" w:space="0"/>
                    <w:right w:val="single" w:color="auto" w:sz="4" w:space="0"/>
                  </w:tcBorders>
                  <w:vAlign w:val="center"/>
                </w:tcPr>
                <w:p w14:paraId="3FE08D82">
                  <w:pPr>
                    <w:widowControl/>
                    <w:jc w:val="center"/>
                    <w:rPr>
                      <w:color w:val="auto"/>
                    </w:rPr>
                  </w:pPr>
                  <w:r>
                    <w:rPr>
                      <w:rFonts w:hint="eastAsia"/>
                      <w:color w:val="auto"/>
                    </w:rPr>
                    <w:t>32度54分50.723秒</w:t>
                  </w:r>
                </w:p>
              </w:tc>
            </w:tr>
            <w:tr w14:paraId="0F5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50717B4D">
                  <w:pPr>
                    <w:jc w:val="center"/>
                    <w:rPr>
                      <w:color w:val="auto"/>
                    </w:rPr>
                  </w:pPr>
                  <w:r>
                    <w:rPr>
                      <w:rFonts w:hint="eastAsia"/>
                      <w:color w:val="auto"/>
                    </w:rPr>
                    <w:t>主要危险物质及分布</w:t>
                  </w:r>
                </w:p>
              </w:tc>
              <w:tc>
                <w:tcPr>
                  <w:tcW w:w="4098" w:type="pct"/>
                  <w:gridSpan w:val="7"/>
                  <w:tcBorders>
                    <w:top w:val="single" w:color="auto" w:sz="4" w:space="0"/>
                    <w:left w:val="single" w:color="auto" w:sz="4" w:space="0"/>
                    <w:bottom w:val="single" w:color="auto" w:sz="4" w:space="0"/>
                    <w:right w:val="single" w:color="auto" w:sz="4" w:space="0"/>
                  </w:tcBorders>
                  <w:vAlign w:val="center"/>
                </w:tcPr>
                <w:p w14:paraId="7AF26768">
                  <w:pPr>
                    <w:widowControl/>
                    <w:jc w:val="center"/>
                    <w:rPr>
                      <w:color w:val="auto"/>
                    </w:rPr>
                  </w:pPr>
                  <w:r>
                    <w:rPr>
                      <w:rFonts w:hint="eastAsia"/>
                      <w:color w:val="auto"/>
                    </w:rPr>
                    <w:t>机油、危废库</w:t>
                  </w:r>
                </w:p>
              </w:tc>
            </w:tr>
            <w:tr w14:paraId="0425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6AF42E6C">
                  <w:pPr>
                    <w:jc w:val="center"/>
                    <w:rPr>
                      <w:color w:val="auto"/>
                    </w:rPr>
                  </w:pPr>
                  <w:r>
                    <w:rPr>
                      <w:rFonts w:hint="eastAsia"/>
                      <w:color w:val="auto"/>
                    </w:rPr>
                    <w:t>环境影响途径及危害后果（大气、地表水、地下水等）</w:t>
                  </w:r>
                </w:p>
              </w:tc>
              <w:tc>
                <w:tcPr>
                  <w:tcW w:w="4098" w:type="pct"/>
                  <w:gridSpan w:val="7"/>
                  <w:tcBorders>
                    <w:top w:val="single" w:color="auto" w:sz="4" w:space="0"/>
                    <w:left w:val="single" w:color="auto" w:sz="4" w:space="0"/>
                    <w:bottom w:val="single" w:color="auto" w:sz="4" w:space="0"/>
                    <w:right w:val="single" w:color="auto" w:sz="4" w:space="0"/>
                  </w:tcBorders>
                  <w:vAlign w:val="center"/>
                </w:tcPr>
                <w:p w14:paraId="372DF615">
                  <w:pPr>
                    <w:jc w:val="center"/>
                    <w:rPr>
                      <w:color w:val="auto"/>
                    </w:rPr>
                  </w:pPr>
                  <w:r>
                    <w:rPr>
                      <w:rFonts w:hint="eastAsia" w:ascii="宋体" w:hAnsi="宋体" w:cs="宋体"/>
                      <w:color w:val="auto"/>
                    </w:rPr>
                    <w:t>①</w:t>
                  </w:r>
                  <w:r>
                    <w:rPr>
                      <w:rFonts w:hint="eastAsia"/>
                      <w:color w:val="auto"/>
                    </w:rPr>
                    <w:t>操作不当或管理不善造成少量贮存物质在原辅材料存放区或者转移过程泄露，围堵不慎进入水体及土壤，或贮存物质中的挥发性组分进入大气环境；</w:t>
                  </w:r>
                  <w:r>
                    <w:rPr>
                      <w:rFonts w:hint="eastAsia" w:ascii="宋体" w:hAnsi="宋体" w:cs="宋体"/>
                      <w:color w:val="auto"/>
                    </w:rPr>
                    <w:t>②</w:t>
                  </w:r>
                  <w:r>
                    <w:rPr>
                      <w:rFonts w:hint="eastAsia"/>
                      <w:color w:val="auto"/>
                    </w:rPr>
                    <w:t>管理或维护不当，造成易燃物质接触火源引发火灾事故，燃烧产物污染大气；贮存物质可溶于组分溶于消防废水，对厂区地下水体、地表水及土壤造成影响。</w:t>
                  </w:r>
                </w:p>
              </w:tc>
            </w:tr>
            <w:tr w14:paraId="5931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pct"/>
                  <w:tcBorders>
                    <w:top w:val="single" w:color="auto" w:sz="4" w:space="0"/>
                    <w:left w:val="single" w:color="auto" w:sz="4" w:space="0"/>
                    <w:bottom w:val="single" w:color="auto" w:sz="4" w:space="0"/>
                    <w:right w:val="single" w:color="auto" w:sz="4" w:space="0"/>
                  </w:tcBorders>
                  <w:vAlign w:val="center"/>
                </w:tcPr>
                <w:p w14:paraId="057C5FCD">
                  <w:pPr>
                    <w:jc w:val="center"/>
                    <w:rPr>
                      <w:color w:val="auto"/>
                    </w:rPr>
                  </w:pPr>
                  <w:r>
                    <w:rPr>
                      <w:rFonts w:hint="eastAsia"/>
                      <w:color w:val="auto"/>
                    </w:rPr>
                    <w:t>风险防范措施</w:t>
                  </w:r>
                </w:p>
                <w:p w14:paraId="7E39722A">
                  <w:pPr>
                    <w:jc w:val="center"/>
                    <w:rPr>
                      <w:color w:val="auto"/>
                    </w:rPr>
                  </w:pPr>
                  <w:r>
                    <w:rPr>
                      <w:rFonts w:hint="eastAsia"/>
                      <w:color w:val="auto"/>
                    </w:rPr>
                    <w:t>要求</w:t>
                  </w:r>
                </w:p>
              </w:tc>
              <w:tc>
                <w:tcPr>
                  <w:tcW w:w="4098" w:type="pct"/>
                  <w:gridSpan w:val="7"/>
                  <w:tcBorders>
                    <w:top w:val="single" w:color="auto" w:sz="4" w:space="0"/>
                    <w:left w:val="single" w:color="auto" w:sz="4" w:space="0"/>
                    <w:bottom w:val="single" w:color="auto" w:sz="4" w:space="0"/>
                    <w:right w:val="single" w:color="auto" w:sz="4" w:space="0"/>
                  </w:tcBorders>
                  <w:vAlign w:val="center"/>
                </w:tcPr>
                <w:p w14:paraId="1916C4A4">
                  <w:pPr>
                    <w:jc w:val="left"/>
                    <w:rPr>
                      <w:color w:val="auto"/>
                    </w:rPr>
                  </w:pPr>
                  <w:r>
                    <w:rPr>
                      <w:rFonts w:hint="eastAsia"/>
                      <w:color w:val="auto"/>
                    </w:rPr>
                    <w:t>（</w:t>
                  </w:r>
                  <w:r>
                    <w:rPr>
                      <w:color w:val="auto"/>
                    </w:rPr>
                    <w:t>1</w:t>
                  </w:r>
                  <w:r>
                    <w:rPr>
                      <w:rFonts w:hint="eastAsia"/>
                      <w:color w:val="auto"/>
                    </w:rPr>
                    <w:t>）风险物质贮存过程中应加强管理工作</w:t>
                  </w:r>
                </w:p>
                <w:p w14:paraId="4EB27D75">
                  <w:pPr>
                    <w:jc w:val="left"/>
                    <w:rPr>
                      <w:color w:val="auto"/>
                    </w:rPr>
                  </w:pPr>
                  <w:r>
                    <w:rPr>
                      <w:rFonts w:hint="eastAsia" w:ascii="宋体" w:hAnsi="宋体" w:cs="宋体"/>
                      <w:color w:val="auto"/>
                    </w:rPr>
                    <w:t>①</w:t>
                  </w:r>
                  <w:r>
                    <w:rPr>
                      <w:rFonts w:hint="eastAsia"/>
                      <w:color w:val="auto"/>
                    </w:rPr>
                    <w:t>采用优质包装材料；</w:t>
                  </w:r>
                </w:p>
                <w:p w14:paraId="4E62442F">
                  <w:pPr>
                    <w:jc w:val="left"/>
                    <w:rPr>
                      <w:color w:val="auto"/>
                    </w:rPr>
                  </w:pPr>
                  <w:r>
                    <w:rPr>
                      <w:rFonts w:hint="eastAsia" w:ascii="宋体" w:hAnsi="宋体" w:cs="宋体"/>
                      <w:color w:val="auto"/>
                    </w:rPr>
                    <w:t>②</w:t>
                  </w:r>
                  <w:r>
                    <w:rPr>
                      <w:rFonts w:hint="eastAsia"/>
                      <w:color w:val="auto"/>
                    </w:rPr>
                    <w:t>加强风险物质的管理，建立出入库台账；</w:t>
                  </w:r>
                </w:p>
                <w:p w14:paraId="6A3FB637">
                  <w:pPr>
                    <w:jc w:val="left"/>
                    <w:rPr>
                      <w:color w:val="auto"/>
                    </w:rPr>
                  </w:pPr>
                  <w:r>
                    <w:rPr>
                      <w:rFonts w:hint="eastAsia" w:ascii="宋体" w:hAnsi="宋体" w:cs="宋体"/>
                      <w:color w:val="auto"/>
                    </w:rPr>
                    <w:t>③</w:t>
                  </w:r>
                  <w:r>
                    <w:rPr>
                      <w:rFonts w:hint="eastAsia"/>
                      <w:color w:val="auto"/>
                    </w:rPr>
                    <w:t>管理人员应了解贮存物质的性质，将可能发生反应的物料分区分类存放；</w:t>
                  </w:r>
                </w:p>
                <w:p w14:paraId="509FB73D">
                  <w:pPr>
                    <w:jc w:val="left"/>
                    <w:rPr>
                      <w:color w:val="auto"/>
                    </w:rPr>
                  </w:pPr>
                  <w:r>
                    <w:rPr>
                      <w:rFonts w:hint="eastAsia" w:ascii="宋体" w:hAnsi="宋体" w:cs="宋体"/>
                      <w:color w:val="auto"/>
                    </w:rPr>
                    <w:t>④</w:t>
                  </w:r>
                  <w:r>
                    <w:rPr>
                      <w:rFonts w:hint="eastAsia"/>
                      <w:color w:val="auto"/>
                    </w:rPr>
                    <w:t>加强定期巡查监管力度，定期检查贮存物质包装是否泄露；</w:t>
                  </w:r>
                </w:p>
                <w:p w14:paraId="7C0D4E60">
                  <w:pPr>
                    <w:jc w:val="left"/>
                    <w:rPr>
                      <w:color w:val="auto"/>
                    </w:rPr>
                  </w:pPr>
                  <w:r>
                    <w:rPr>
                      <w:rFonts w:hint="eastAsia" w:ascii="宋体" w:hAnsi="宋体" w:cs="宋体"/>
                      <w:color w:val="auto"/>
                    </w:rPr>
                    <w:t>⑤</w:t>
                  </w:r>
                  <w:r>
                    <w:rPr>
                      <w:rFonts w:hint="eastAsia"/>
                      <w:color w:val="auto"/>
                    </w:rPr>
                    <w:t>加强运输过程中的规范化设置，防治运输过程中发生磕碰导致泄露。</w:t>
                  </w:r>
                </w:p>
                <w:p w14:paraId="7D195DD6">
                  <w:pPr>
                    <w:jc w:val="left"/>
                    <w:rPr>
                      <w:rFonts w:ascii="宋体" w:hAnsi="宋体" w:cs="宋体"/>
                      <w:color w:val="auto"/>
                    </w:rPr>
                  </w:pPr>
                  <w:r>
                    <w:rPr>
                      <w:rFonts w:hint="eastAsia" w:ascii="宋体" w:hAnsi="宋体" w:cs="宋体"/>
                      <w:color w:val="auto"/>
                    </w:rPr>
                    <w:t>⑥加强车间的日常管理及工人的安全教育，车间配备灭火器，设置禁火标志及防静电措施。</w:t>
                  </w:r>
                </w:p>
                <w:p w14:paraId="5C272C1E">
                  <w:pPr>
                    <w:jc w:val="left"/>
                    <w:rPr>
                      <w:rFonts w:ascii="宋体" w:hAnsi="宋体" w:cs="宋体"/>
                      <w:color w:val="auto"/>
                    </w:rPr>
                  </w:pPr>
                  <w:r>
                    <w:rPr>
                      <w:rFonts w:hint="eastAsia" w:ascii="宋体" w:hAnsi="宋体" w:cs="宋体"/>
                      <w:color w:val="auto"/>
                    </w:rPr>
                    <w:t>⑦</w:t>
                  </w:r>
                  <w:r>
                    <w:rPr>
                      <w:rFonts w:hint="eastAsia"/>
                      <w:color w:val="auto"/>
                    </w:rPr>
                    <w:t>危废库进行重点防渗。存放液体原料均设有托盘</w:t>
                  </w:r>
                  <w:r>
                    <w:rPr>
                      <w:color w:val="auto"/>
                    </w:rPr>
                    <w:t>(</w:t>
                  </w:r>
                  <w:r>
                    <w:rPr>
                      <w:rFonts w:hint="eastAsia"/>
                      <w:color w:val="auto"/>
                    </w:rPr>
                    <w:t>托盘容积</w:t>
                  </w:r>
                  <w:r>
                    <w:rPr>
                      <w:color w:val="auto"/>
                    </w:rPr>
                    <w:t>0.2m</w:t>
                  </w:r>
                  <w:r>
                    <w:rPr>
                      <w:color w:val="auto"/>
                      <w:vertAlign w:val="superscript"/>
                    </w:rPr>
                    <w:t>3</w:t>
                  </w:r>
                  <w:r>
                    <w:rPr>
                      <w:color w:val="auto"/>
                    </w:rPr>
                    <w:t>)</w:t>
                  </w:r>
                  <w:r>
                    <w:rPr>
                      <w:rFonts w:hint="eastAsia" w:ascii="宋体" w:hAnsi="宋体" w:cs="宋体"/>
                      <w:color w:val="auto"/>
                    </w:rPr>
                    <w:t>。</w:t>
                  </w:r>
                </w:p>
                <w:p w14:paraId="3F7B09EF">
                  <w:pPr>
                    <w:jc w:val="left"/>
                    <w:rPr>
                      <w:rFonts w:ascii="宋体" w:hAnsi="宋体" w:cs="宋体"/>
                      <w:color w:val="auto"/>
                    </w:rPr>
                  </w:pPr>
                  <w:r>
                    <w:rPr>
                      <w:rFonts w:hint="eastAsia" w:ascii="宋体" w:hAnsi="宋体" w:cs="宋体"/>
                      <w:color w:val="auto"/>
                    </w:rPr>
                    <w:t>⑧液体料库和油漆料库需设置围堰并进行重点防渗，存放</w:t>
                  </w:r>
                  <w:r>
                    <w:rPr>
                      <w:rFonts w:hint="eastAsia"/>
                      <w:color w:val="auto"/>
                    </w:rPr>
                    <w:t>液体原料均设有托盘</w:t>
                  </w:r>
                  <w:r>
                    <w:rPr>
                      <w:color w:val="auto"/>
                    </w:rPr>
                    <w:t>(</w:t>
                  </w:r>
                  <w:r>
                    <w:rPr>
                      <w:rFonts w:hint="eastAsia"/>
                      <w:color w:val="auto"/>
                    </w:rPr>
                    <w:t>托盘容积</w:t>
                  </w:r>
                  <w:r>
                    <w:rPr>
                      <w:color w:val="auto"/>
                    </w:rPr>
                    <w:t>0.2m</w:t>
                  </w:r>
                  <w:r>
                    <w:rPr>
                      <w:color w:val="auto"/>
                      <w:vertAlign w:val="superscript"/>
                    </w:rPr>
                    <w:t>3</w:t>
                  </w:r>
                  <w:r>
                    <w:rPr>
                      <w:color w:val="auto"/>
                    </w:rPr>
                    <w:t>)</w:t>
                  </w:r>
                  <w:r>
                    <w:rPr>
                      <w:rFonts w:hint="eastAsia" w:ascii="宋体" w:hAnsi="宋体" w:cs="宋体"/>
                      <w:color w:val="auto"/>
                    </w:rPr>
                    <w:t>。</w:t>
                  </w:r>
                </w:p>
                <w:p w14:paraId="4ABCBFDA">
                  <w:pPr>
                    <w:jc w:val="left"/>
                    <w:rPr>
                      <w:color w:val="auto"/>
                    </w:rPr>
                  </w:pPr>
                  <w:r>
                    <w:rPr>
                      <w:rFonts w:hint="eastAsia"/>
                      <w:color w:val="auto"/>
                    </w:rPr>
                    <w:t>（</w:t>
                  </w:r>
                  <w:r>
                    <w:rPr>
                      <w:color w:val="auto"/>
                    </w:rPr>
                    <w:t>2</w:t>
                  </w:r>
                  <w:r>
                    <w:rPr>
                      <w:rFonts w:hint="eastAsia"/>
                      <w:color w:val="auto"/>
                    </w:rPr>
                    <w:t>）若现场发生泄漏，应及时进行覆盖、吸收，使泄漏物得到安全可靠的处置，防止二次事故的发生，按环保的要求处理泄漏的风险物质。</w:t>
                  </w:r>
                </w:p>
                <w:p w14:paraId="4FB07856">
                  <w:pPr>
                    <w:jc w:val="left"/>
                    <w:rPr>
                      <w:color w:val="auto"/>
                    </w:rPr>
                  </w:pPr>
                  <w:r>
                    <w:rPr>
                      <w:rFonts w:hint="eastAsia"/>
                      <w:color w:val="auto"/>
                    </w:rPr>
                    <w:t>（</w:t>
                  </w:r>
                  <w:r>
                    <w:rPr>
                      <w:color w:val="auto"/>
                    </w:rPr>
                    <w:t>3</w:t>
                  </w:r>
                  <w:r>
                    <w:rPr>
                      <w:rFonts w:hint="eastAsia"/>
                      <w:color w:val="auto"/>
                    </w:rPr>
                    <w:t>）应急资源要重点做好堵漏工具和泄漏物料处理工具的配备及维修保护，个人应急防护及应急通信设备的维护，堵漏工具应包括粘贴式堵漏工具、阀门堵漏套具等。</w:t>
                  </w:r>
                </w:p>
                <w:p w14:paraId="405F0CA1">
                  <w:pPr>
                    <w:jc w:val="left"/>
                    <w:rPr>
                      <w:color w:val="auto"/>
                    </w:rPr>
                  </w:pPr>
                  <w:r>
                    <w:rPr>
                      <w:rFonts w:hint="eastAsia"/>
                      <w:color w:val="auto"/>
                    </w:rPr>
                    <w:t>（</w:t>
                  </w:r>
                  <w:r>
                    <w:rPr>
                      <w:color w:val="auto"/>
                    </w:rPr>
                    <w:t>4</w:t>
                  </w:r>
                  <w:r>
                    <w:rPr>
                      <w:rFonts w:hint="eastAsia"/>
                      <w:color w:val="auto"/>
                    </w:rPr>
                    <w:t>）建设单位应设置应急救援队伍，应急救援队伍各人员要定岗定位，各岗位人员还必须有备份，出现事故时依次序上岗，保证事故发生后，能有人及时启动应急救援，防止恶性事故发生后无人操作。</w:t>
                  </w:r>
                </w:p>
              </w:tc>
            </w:tr>
            <w:tr w14:paraId="7FC7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45789D23">
                  <w:pPr>
                    <w:jc w:val="left"/>
                    <w:rPr>
                      <w:color w:val="auto"/>
                    </w:rPr>
                  </w:pPr>
                  <w:r>
                    <w:rPr>
                      <w:rFonts w:hint="eastAsia"/>
                      <w:color w:val="auto"/>
                    </w:rPr>
                    <w:t>填表说明（列出项目相关信息及评价说明）：</w:t>
                  </w:r>
                </w:p>
                <w:p w14:paraId="2339B404">
                  <w:pPr>
                    <w:jc w:val="left"/>
                    <w:rPr>
                      <w:color w:val="auto"/>
                    </w:rPr>
                  </w:pPr>
                  <w:r>
                    <w:rPr>
                      <w:rFonts w:hint="eastAsia"/>
                      <w:color w:val="auto"/>
                    </w:rPr>
                    <w:t>项目性质：新建。</w:t>
                  </w:r>
                </w:p>
                <w:p w14:paraId="4D1D7053">
                  <w:pPr>
                    <w:jc w:val="left"/>
                    <w:rPr>
                      <w:color w:val="auto"/>
                    </w:rPr>
                  </w:pPr>
                  <w:r>
                    <w:rPr>
                      <w:rFonts w:hint="eastAsia"/>
                      <w:color w:val="auto"/>
                    </w:rPr>
                    <w:t>本项目环境风险潜势为，评价等级为简单分析，因此仅对环境风险识别、环境风险分析、风险防范措施及应急要求等内容进行分析。</w:t>
                  </w:r>
                </w:p>
              </w:tc>
            </w:tr>
          </w:tbl>
          <w:p w14:paraId="64BC6FC3">
            <w:pPr>
              <w:snapToGrid w:val="0"/>
              <w:spacing w:line="500" w:lineRule="exact"/>
              <w:ind w:firstLine="482" w:firstLineChars="200"/>
              <w:rPr>
                <w:b/>
                <w:color w:val="auto"/>
                <w:sz w:val="24"/>
              </w:rPr>
            </w:pPr>
            <w:r>
              <w:rPr>
                <w:rFonts w:hint="eastAsia"/>
                <w:b/>
                <w:color w:val="auto"/>
                <w:sz w:val="24"/>
              </w:rPr>
              <w:t>八、</w:t>
            </w:r>
            <w:r>
              <w:rPr>
                <w:b/>
                <w:color w:val="auto"/>
                <w:sz w:val="24"/>
              </w:rPr>
              <w:t>环保投资</w:t>
            </w:r>
          </w:p>
          <w:p w14:paraId="45115F18">
            <w:pPr>
              <w:snapToGrid w:val="0"/>
              <w:spacing w:line="500" w:lineRule="exact"/>
              <w:ind w:firstLine="480" w:firstLineChars="200"/>
              <w:rPr>
                <w:color w:val="auto"/>
                <w:sz w:val="24"/>
              </w:rPr>
            </w:pPr>
            <w:r>
              <w:rPr>
                <w:rFonts w:hint="eastAsia"/>
                <w:color w:val="auto"/>
                <w:sz w:val="24"/>
              </w:rPr>
              <w:t>本项目总投资</w:t>
            </w:r>
            <w:r>
              <w:rPr>
                <w:rFonts w:hint="eastAsia"/>
                <w:color w:val="auto"/>
                <w:sz w:val="24"/>
                <w:lang w:val="en-US" w:eastAsia="zh-CN"/>
              </w:rPr>
              <w:t>3200</w:t>
            </w:r>
            <w:r>
              <w:rPr>
                <w:rFonts w:hint="eastAsia"/>
                <w:bCs/>
                <w:color w:val="auto"/>
                <w:sz w:val="24"/>
              </w:rPr>
              <w:t>万元</w:t>
            </w:r>
            <w:r>
              <w:rPr>
                <w:rFonts w:hint="eastAsia"/>
                <w:color w:val="auto"/>
                <w:sz w:val="24"/>
              </w:rPr>
              <w:t>，预计环保投资</w:t>
            </w:r>
            <w:r>
              <w:rPr>
                <w:rFonts w:hint="eastAsia"/>
                <w:color w:val="auto"/>
                <w:sz w:val="24"/>
                <w:lang w:val="en-US" w:eastAsia="zh-CN"/>
              </w:rPr>
              <w:t>32</w:t>
            </w:r>
            <w:r>
              <w:rPr>
                <w:rFonts w:hint="eastAsia"/>
                <w:color w:val="auto"/>
                <w:sz w:val="24"/>
              </w:rPr>
              <w:t>万元，占总投资的</w:t>
            </w:r>
            <w:r>
              <w:rPr>
                <w:color w:val="auto"/>
                <w:sz w:val="24"/>
              </w:rPr>
              <w:t>1%</w:t>
            </w:r>
            <w:r>
              <w:rPr>
                <w:rFonts w:hint="eastAsia"/>
                <w:color w:val="auto"/>
                <w:sz w:val="24"/>
              </w:rPr>
              <w:t>。</w:t>
            </w:r>
          </w:p>
          <w:p w14:paraId="36D991E9">
            <w:pPr>
              <w:spacing w:line="500" w:lineRule="exact"/>
              <w:ind w:firstLine="482" w:firstLineChars="200"/>
              <w:jc w:val="center"/>
              <w:rPr>
                <w:b/>
                <w:color w:val="auto"/>
                <w:sz w:val="24"/>
              </w:rPr>
            </w:pPr>
            <w:r>
              <w:rPr>
                <w:b/>
                <w:color w:val="auto"/>
                <w:sz w:val="24"/>
              </w:rPr>
              <w:t>表4-</w:t>
            </w:r>
            <w:r>
              <w:rPr>
                <w:rFonts w:hint="eastAsia"/>
                <w:b/>
                <w:color w:val="auto"/>
                <w:sz w:val="24"/>
              </w:rPr>
              <w:t>3</w:t>
            </w:r>
            <w:r>
              <w:rPr>
                <w:b/>
                <w:color w:val="auto"/>
                <w:sz w:val="24"/>
              </w:rPr>
              <w:t xml:space="preserve">0  </w:t>
            </w:r>
            <w:r>
              <w:rPr>
                <w:b/>
                <w:bCs/>
                <w:color w:val="auto"/>
                <w:sz w:val="24"/>
              </w:rPr>
              <w:t>环保投资估算及</w:t>
            </w:r>
            <w:r>
              <w:rPr>
                <w:rFonts w:hint="eastAsia"/>
                <w:b/>
                <w:bCs/>
                <w:color w:val="auto"/>
                <w:sz w:val="24"/>
              </w:rPr>
              <w:t>“三同时”验收一览表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112"/>
              <w:gridCol w:w="826"/>
              <w:gridCol w:w="2578"/>
              <w:gridCol w:w="2396"/>
              <w:gridCol w:w="1076"/>
              <w:gridCol w:w="1057"/>
            </w:tblGrid>
            <w:tr w14:paraId="7C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4" w:type="pct"/>
                  <w:tcBorders>
                    <w:top w:val="single" w:color="auto" w:sz="4" w:space="0"/>
                    <w:left w:val="single" w:color="auto" w:sz="4" w:space="0"/>
                    <w:bottom w:val="single" w:color="auto" w:sz="4" w:space="0"/>
                    <w:right w:val="single" w:color="auto" w:sz="4" w:space="0"/>
                  </w:tcBorders>
                  <w:vAlign w:val="center"/>
                </w:tcPr>
                <w:p w14:paraId="6E7B1EE3">
                  <w:pPr>
                    <w:jc w:val="center"/>
                    <w:rPr>
                      <w:color w:val="auto"/>
                      <w:szCs w:val="21"/>
                    </w:rPr>
                  </w:pPr>
                  <w:bookmarkStart w:id="11" w:name="_Hlk102123228"/>
                  <w:r>
                    <w:rPr>
                      <w:rFonts w:hint="eastAsia"/>
                      <w:color w:val="auto"/>
                      <w:szCs w:val="21"/>
                    </w:rPr>
                    <w:t>类别</w:t>
                  </w:r>
                </w:p>
              </w:tc>
              <w:tc>
                <w:tcPr>
                  <w:tcW w:w="587" w:type="pct"/>
                  <w:tcBorders>
                    <w:top w:val="single" w:color="auto" w:sz="4" w:space="0"/>
                    <w:left w:val="single" w:color="auto" w:sz="4" w:space="0"/>
                    <w:bottom w:val="single" w:color="auto" w:sz="4" w:space="0"/>
                    <w:right w:val="single" w:color="auto" w:sz="4" w:space="0"/>
                  </w:tcBorders>
                  <w:vAlign w:val="center"/>
                </w:tcPr>
                <w:p w14:paraId="350AA66F">
                  <w:pPr>
                    <w:jc w:val="center"/>
                    <w:rPr>
                      <w:color w:val="auto"/>
                      <w:szCs w:val="21"/>
                    </w:rPr>
                  </w:pPr>
                  <w:r>
                    <w:rPr>
                      <w:rFonts w:hint="eastAsia"/>
                      <w:color w:val="auto"/>
                      <w:szCs w:val="21"/>
                    </w:rPr>
                    <w:t>污染源</w:t>
                  </w:r>
                </w:p>
              </w:tc>
              <w:tc>
                <w:tcPr>
                  <w:tcW w:w="434" w:type="pct"/>
                  <w:tcBorders>
                    <w:top w:val="single" w:color="auto" w:sz="4" w:space="0"/>
                    <w:left w:val="single" w:color="auto" w:sz="4" w:space="0"/>
                    <w:bottom w:val="single" w:color="auto" w:sz="4" w:space="0"/>
                    <w:right w:val="single" w:color="auto" w:sz="4" w:space="0"/>
                  </w:tcBorders>
                  <w:vAlign w:val="center"/>
                </w:tcPr>
                <w:p w14:paraId="6F2741FF">
                  <w:pPr>
                    <w:ind w:left="-67" w:leftChars="-32" w:right="-31" w:rightChars="-15"/>
                    <w:jc w:val="center"/>
                    <w:rPr>
                      <w:color w:val="auto"/>
                      <w:szCs w:val="21"/>
                    </w:rPr>
                  </w:pPr>
                  <w:r>
                    <w:rPr>
                      <w:rFonts w:hint="eastAsia"/>
                      <w:color w:val="auto"/>
                      <w:szCs w:val="21"/>
                    </w:rPr>
                    <w:t>污染物</w:t>
                  </w:r>
                </w:p>
              </w:tc>
              <w:tc>
                <w:tcPr>
                  <w:tcW w:w="1361" w:type="pct"/>
                  <w:tcBorders>
                    <w:top w:val="single" w:color="auto" w:sz="4" w:space="0"/>
                    <w:left w:val="single" w:color="auto" w:sz="4" w:space="0"/>
                    <w:bottom w:val="single" w:color="auto" w:sz="4" w:space="0"/>
                    <w:right w:val="single" w:color="auto" w:sz="4" w:space="0"/>
                  </w:tcBorders>
                  <w:vAlign w:val="center"/>
                </w:tcPr>
                <w:p w14:paraId="27A39A6B">
                  <w:pPr>
                    <w:jc w:val="center"/>
                    <w:rPr>
                      <w:color w:val="auto"/>
                      <w:szCs w:val="21"/>
                    </w:rPr>
                  </w:pPr>
                  <w:r>
                    <w:rPr>
                      <w:rFonts w:hint="eastAsia"/>
                      <w:color w:val="auto"/>
                      <w:szCs w:val="21"/>
                    </w:rPr>
                    <w:t>主要措施说明</w:t>
                  </w:r>
                </w:p>
              </w:tc>
              <w:tc>
                <w:tcPr>
                  <w:tcW w:w="1265" w:type="pct"/>
                  <w:tcBorders>
                    <w:top w:val="single" w:color="auto" w:sz="4" w:space="0"/>
                    <w:left w:val="single" w:color="auto" w:sz="4" w:space="0"/>
                    <w:bottom w:val="single" w:color="auto" w:sz="4" w:space="0"/>
                    <w:right w:val="single" w:color="auto" w:sz="4" w:space="0"/>
                  </w:tcBorders>
                  <w:vAlign w:val="center"/>
                </w:tcPr>
                <w:p w14:paraId="25FAAD24">
                  <w:pPr>
                    <w:jc w:val="center"/>
                    <w:rPr>
                      <w:color w:val="auto"/>
                      <w:szCs w:val="21"/>
                    </w:rPr>
                  </w:pPr>
                  <w:r>
                    <w:rPr>
                      <w:rFonts w:hint="eastAsia"/>
                      <w:color w:val="auto"/>
                      <w:szCs w:val="21"/>
                    </w:rPr>
                    <w:t>预期效果</w:t>
                  </w:r>
                </w:p>
              </w:tc>
              <w:tc>
                <w:tcPr>
                  <w:tcW w:w="568" w:type="pct"/>
                  <w:tcBorders>
                    <w:top w:val="single" w:color="auto" w:sz="4" w:space="0"/>
                    <w:left w:val="single" w:color="auto" w:sz="4" w:space="0"/>
                    <w:bottom w:val="single" w:color="auto" w:sz="4" w:space="0"/>
                    <w:right w:val="single" w:color="auto" w:sz="4" w:space="0"/>
                  </w:tcBorders>
                  <w:vAlign w:val="center"/>
                </w:tcPr>
                <w:p w14:paraId="0E2EA938">
                  <w:pPr>
                    <w:jc w:val="center"/>
                    <w:rPr>
                      <w:color w:val="auto"/>
                      <w:szCs w:val="21"/>
                    </w:rPr>
                  </w:pPr>
                  <w:r>
                    <w:rPr>
                      <w:rFonts w:hint="eastAsia"/>
                      <w:color w:val="auto"/>
                      <w:szCs w:val="21"/>
                    </w:rPr>
                    <w:t>环保投资</w:t>
                  </w:r>
                </w:p>
                <w:p w14:paraId="13A0DD43">
                  <w:pPr>
                    <w:jc w:val="center"/>
                    <w:rPr>
                      <w:color w:val="auto"/>
                      <w:szCs w:val="21"/>
                    </w:rPr>
                  </w:pPr>
                  <w:r>
                    <w:rPr>
                      <w:rFonts w:hint="eastAsia"/>
                      <w:color w:val="auto"/>
                      <w:szCs w:val="21"/>
                    </w:rPr>
                    <w:t>（万元）</w:t>
                  </w:r>
                </w:p>
              </w:tc>
              <w:tc>
                <w:tcPr>
                  <w:tcW w:w="558" w:type="pct"/>
                  <w:tcBorders>
                    <w:top w:val="single" w:color="auto" w:sz="4" w:space="0"/>
                    <w:left w:val="single" w:color="auto" w:sz="4" w:space="0"/>
                    <w:bottom w:val="single" w:color="auto" w:sz="4" w:space="0"/>
                    <w:right w:val="single" w:color="auto" w:sz="4" w:space="0"/>
                  </w:tcBorders>
                  <w:vAlign w:val="center"/>
                </w:tcPr>
                <w:p w14:paraId="5F1BED7E">
                  <w:pPr>
                    <w:jc w:val="center"/>
                    <w:rPr>
                      <w:color w:val="auto"/>
                      <w:szCs w:val="21"/>
                    </w:rPr>
                  </w:pPr>
                  <w:r>
                    <w:rPr>
                      <w:rFonts w:hint="eastAsia"/>
                      <w:color w:val="auto"/>
                      <w:szCs w:val="21"/>
                    </w:rPr>
                    <w:t>计划</w:t>
                  </w:r>
                </w:p>
              </w:tc>
            </w:tr>
            <w:tr w14:paraId="7A9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4" w:type="pct"/>
                  <w:vMerge w:val="restart"/>
                  <w:tcBorders>
                    <w:top w:val="single" w:color="auto" w:sz="4" w:space="0"/>
                    <w:left w:val="single" w:color="auto" w:sz="4" w:space="0"/>
                    <w:bottom w:val="single" w:color="auto" w:sz="4" w:space="0"/>
                    <w:right w:val="single" w:color="auto" w:sz="4" w:space="0"/>
                  </w:tcBorders>
                  <w:vAlign w:val="center"/>
                </w:tcPr>
                <w:p w14:paraId="6276CBC7">
                  <w:pPr>
                    <w:jc w:val="center"/>
                    <w:rPr>
                      <w:color w:val="auto"/>
                      <w:szCs w:val="21"/>
                    </w:rPr>
                  </w:pPr>
                  <w:r>
                    <w:rPr>
                      <w:rFonts w:hint="eastAsia"/>
                      <w:color w:val="auto"/>
                      <w:szCs w:val="21"/>
                    </w:rPr>
                    <w:t>废气</w:t>
                  </w:r>
                </w:p>
              </w:tc>
              <w:tc>
                <w:tcPr>
                  <w:tcW w:w="587" w:type="pct"/>
                  <w:tcBorders>
                    <w:top w:val="single" w:color="auto" w:sz="4" w:space="0"/>
                    <w:left w:val="single" w:color="auto" w:sz="4" w:space="0"/>
                    <w:bottom w:val="single" w:color="auto" w:sz="4" w:space="0"/>
                    <w:right w:val="single" w:color="auto" w:sz="4" w:space="0"/>
                  </w:tcBorders>
                  <w:vAlign w:val="center"/>
                </w:tcPr>
                <w:p w14:paraId="1730EF0D">
                  <w:pPr>
                    <w:jc w:val="center"/>
                    <w:rPr>
                      <w:rFonts w:hint="default" w:eastAsia="宋体"/>
                      <w:color w:val="auto"/>
                      <w:szCs w:val="21"/>
                      <w:lang w:val="en-US" w:eastAsia="zh-CN"/>
                    </w:rPr>
                  </w:pPr>
                  <w:r>
                    <w:rPr>
                      <w:rFonts w:hint="eastAsia"/>
                      <w:color w:val="auto"/>
                      <w:szCs w:val="21"/>
                      <w:lang w:val="en-US" w:eastAsia="zh-CN"/>
                    </w:rPr>
                    <w:t>投料、包装</w:t>
                  </w:r>
                </w:p>
              </w:tc>
              <w:tc>
                <w:tcPr>
                  <w:tcW w:w="434" w:type="pct"/>
                  <w:tcBorders>
                    <w:top w:val="single" w:color="auto" w:sz="4" w:space="0"/>
                    <w:left w:val="single" w:color="auto" w:sz="4" w:space="0"/>
                    <w:bottom w:val="single" w:color="auto" w:sz="4" w:space="0"/>
                    <w:right w:val="single" w:color="auto" w:sz="4" w:space="0"/>
                  </w:tcBorders>
                  <w:vAlign w:val="center"/>
                </w:tcPr>
                <w:p w14:paraId="16C9D167">
                  <w:pPr>
                    <w:ind w:left="-191" w:leftChars="-91" w:right="-139" w:rightChars="-66"/>
                    <w:jc w:val="center"/>
                    <w:rPr>
                      <w:rFonts w:hint="eastAsia" w:eastAsia="宋体"/>
                      <w:color w:val="auto"/>
                      <w:szCs w:val="21"/>
                      <w:lang w:eastAsia="zh-CN"/>
                    </w:rPr>
                  </w:pPr>
                  <w:r>
                    <w:rPr>
                      <w:rFonts w:hint="eastAsia"/>
                      <w:color w:val="auto"/>
                      <w:szCs w:val="21"/>
                    </w:rPr>
                    <w:t>颗粒物</w:t>
                  </w:r>
                  <w:r>
                    <w:rPr>
                      <w:rFonts w:hint="eastAsia"/>
                      <w:color w:val="auto"/>
                      <w:szCs w:val="21"/>
                      <w:lang w:eastAsia="zh-CN"/>
                    </w:rPr>
                    <w:t>（</w:t>
                  </w:r>
                  <w:r>
                    <w:rPr>
                      <w:rFonts w:hint="eastAsia"/>
                      <w:color w:val="auto"/>
                      <w:szCs w:val="21"/>
                      <w:lang w:val="en-US" w:eastAsia="zh-CN"/>
                    </w:rPr>
                    <w:t>粉尘</w:t>
                  </w:r>
                  <w:r>
                    <w:rPr>
                      <w:rFonts w:hint="eastAsia"/>
                      <w:color w:val="auto"/>
                      <w:szCs w:val="21"/>
                      <w:lang w:eastAsia="zh-CN"/>
                    </w:rPr>
                    <w:t>）</w:t>
                  </w:r>
                </w:p>
              </w:tc>
              <w:tc>
                <w:tcPr>
                  <w:tcW w:w="1361" w:type="pct"/>
                  <w:tcBorders>
                    <w:top w:val="single" w:color="auto" w:sz="4" w:space="0"/>
                    <w:left w:val="single" w:color="auto" w:sz="4" w:space="0"/>
                    <w:bottom w:val="single" w:color="auto" w:sz="4" w:space="0"/>
                    <w:right w:val="single" w:color="auto" w:sz="4" w:space="0"/>
                  </w:tcBorders>
                  <w:vAlign w:val="center"/>
                </w:tcPr>
                <w:p w14:paraId="10B0FF0C">
                  <w:pPr>
                    <w:jc w:val="center"/>
                    <w:rPr>
                      <w:rFonts w:hint="default" w:eastAsia="宋体"/>
                      <w:color w:val="auto"/>
                      <w:szCs w:val="21"/>
                      <w:lang w:val="en-US" w:eastAsia="zh-CN"/>
                    </w:rPr>
                  </w:pPr>
                  <w:r>
                    <w:rPr>
                      <w:rFonts w:hint="eastAsia"/>
                      <w:color w:val="auto"/>
                      <w:lang w:val="en-US" w:eastAsia="zh-CN"/>
                    </w:rPr>
                    <w:t>集气罩收集后</w:t>
                  </w:r>
                  <w:r>
                    <w:rPr>
                      <w:rFonts w:hint="eastAsia"/>
                      <w:color w:val="auto"/>
                      <w:szCs w:val="21"/>
                    </w:rPr>
                    <w:t>使用</w:t>
                  </w:r>
                  <w:r>
                    <w:rPr>
                      <w:rFonts w:hint="eastAsia"/>
                      <w:color w:val="auto"/>
                      <w:szCs w:val="21"/>
                      <w:lang w:val="en-US" w:eastAsia="zh-CN"/>
                    </w:rPr>
                    <w:t>布袋除尘器</w:t>
                  </w:r>
                  <w:r>
                    <w:rPr>
                      <w:rFonts w:hint="eastAsia"/>
                      <w:color w:val="auto"/>
                      <w:szCs w:val="21"/>
                    </w:rPr>
                    <w:t>处理，其捕集效率约为90%，处理效率9</w:t>
                  </w:r>
                  <w:r>
                    <w:rPr>
                      <w:rFonts w:hint="eastAsia"/>
                      <w:color w:val="auto"/>
                      <w:szCs w:val="21"/>
                      <w:lang w:val="en-US" w:eastAsia="zh-CN"/>
                    </w:rPr>
                    <w:t>5</w:t>
                  </w:r>
                  <w:r>
                    <w:rPr>
                      <w:rFonts w:hint="eastAsia"/>
                      <w:color w:val="auto"/>
                      <w:szCs w:val="21"/>
                    </w:rPr>
                    <w:t>%，处理后通过</w:t>
                  </w:r>
                  <w:r>
                    <w:rPr>
                      <w:rFonts w:hint="eastAsia"/>
                      <w:color w:val="auto"/>
                      <w:szCs w:val="21"/>
                      <w:lang w:val="en-US" w:eastAsia="zh-CN"/>
                    </w:rPr>
                    <w:t>15m高排气筒DA001排放</w:t>
                  </w:r>
                </w:p>
              </w:tc>
              <w:tc>
                <w:tcPr>
                  <w:tcW w:w="1265" w:type="pct"/>
                  <w:tcBorders>
                    <w:top w:val="single" w:color="auto" w:sz="4" w:space="0"/>
                    <w:left w:val="single" w:color="auto" w:sz="4" w:space="0"/>
                    <w:bottom w:val="single" w:color="auto" w:sz="4" w:space="0"/>
                    <w:right w:val="single" w:color="auto" w:sz="4" w:space="0"/>
                  </w:tcBorders>
                  <w:vAlign w:val="center"/>
                </w:tcPr>
                <w:p w14:paraId="57F975D4">
                  <w:pPr>
                    <w:jc w:val="center"/>
                    <w:rPr>
                      <w:color w:val="auto"/>
                      <w:szCs w:val="21"/>
                    </w:rPr>
                  </w:pPr>
                  <w:r>
                    <w:rPr>
                      <w:rFonts w:hint="eastAsia"/>
                      <w:color w:val="auto"/>
                      <w:szCs w:val="21"/>
                    </w:rPr>
                    <w:t>满足《大气污染物综合排放标准》（GB16297-1996）表2新污染源大气污染物排放限值</w:t>
                  </w:r>
                </w:p>
              </w:tc>
              <w:tc>
                <w:tcPr>
                  <w:tcW w:w="568" w:type="pct"/>
                  <w:tcBorders>
                    <w:top w:val="single" w:color="auto" w:sz="4" w:space="0"/>
                    <w:left w:val="single" w:color="auto" w:sz="4" w:space="0"/>
                    <w:bottom w:val="single" w:color="auto" w:sz="4" w:space="0"/>
                    <w:right w:val="single" w:color="auto" w:sz="4" w:space="0"/>
                  </w:tcBorders>
                  <w:vAlign w:val="center"/>
                </w:tcPr>
                <w:p w14:paraId="59F01DC9">
                  <w:pPr>
                    <w:jc w:val="center"/>
                    <w:rPr>
                      <w:color w:val="auto"/>
                      <w:szCs w:val="21"/>
                    </w:rPr>
                  </w:pPr>
                  <w:r>
                    <w:rPr>
                      <w:rFonts w:hint="eastAsia"/>
                      <w:color w:val="auto"/>
                      <w:szCs w:val="21"/>
                      <w:lang w:val="en-US" w:eastAsia="zh-CN"/>
                    </w:rPr>
                    <w:t>12</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14:paraId="64C22307">
                  <w:pPr>
                    <w:adjustRightInd w:val="0"/>
                    <w:jc w:val="center"/>
                    <w:rPr>
                      <w:bCs/>
                      <w:color w:val="auto"/>
                      <w:szCs w:val="21"/>
                    </w:rPr>
                  </w:pPr>
                  <w:r>
                    <w:rPr>
                      <w:rFonts w:hint="eastAsia" w:hAnsi="宋体"/>
                      <w:bCs/>
                      <w:color w:val="auto"/>
                      <w:szCs w:val="21"/>
                    </w:rPr>
                    <w:t>与建设项</w:t>
                  </w:r>
                </w:p>
                <w:p w14:paraId="4D34296B">
                  <w:pPr>
                    <w:adjustRightInd w:val="0"/>
                    <w:jc w:val="center"/>
                    <w:rPr>
                      <w:bCs/>
                      <w:color w:val="auto"/>
                      <w:szCs w:val="21"/>
                    </w:rPr>
                  </w:pPr>
                  <w:r>
                    <w:rPr>
                      <w:rFonts w:hint="eastAsia" w:hAnsi="宋体"/>
                      <w:bCs/>
                      <w:color w:val="auto"/>
                      <w:szCs w:val="21"/>
                    </w:rPr>
                    <w:t>目同时设</w:t>
                  </w:r>
                </w:p>
                <w:p w14:paraId="1041C21D">
                  <w:pPr>
                    <w:jc w:val="center"/>
                    <w:rPr>
                      <w:color w:val="auto"/>
                      <w:szCs w:val="21"/>
                    </w:rPr>
                  </w:pPr>
                  <w:r>
                    <w:rPr>
                      <w:rFonts w:hint="eastAsia" w:hAnsi="宋体"/>
                      <w:bCs/>
                      <w:color w:val="auto"/>
                      <w:szCs w:val="21"/>
                    </w:rPr>
                    <w:t>计，同时施工，同时投产</w:t>
                  </w:r>
                </w:p>
              </w:tc>
            </w:tr>
            <w:tr w14:paraId="2C70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24" w:type="pct"/>
                  <w:vMerge w:val="restart"/>
                  <w:tcBorders>
                    <w:top w:val="single" w:color="auto" w:sz="4" w:space="0"/>
                    <w:left w:val="single" w:color="auto" w:sz="4" w:space="0"/>
                    <w:bottom w:val="single" w:color="auto" w:sz="4" w:space="0"/>
                    <w:right w:val="single" w:color="auto" w:sz="4" w:space="0"/>
                  </w:tcBorders>
                  <w:vAlign w:val="center"/>
                </w:tcPr>
                <w:p w14:paraId="49222CCF">
                  <w:pPr>
                    <w:jc w:val="center"/>
                    <w:rPr>
                      <w:color w:val="auto"/>
                      <w:szCs w:val="21"/>
                    </w:rPr>
                  </w:pPr>
                  <w:r>
                    <w:rPr>
                      <w:rFonts w:hint="eastAsia"/>
                      <w:color w:val="auto"/>
                      <w:szCs w:val="21"/>
                    </w:rPr>
                    <w:t>废水</w:t>
                  </w:r>
                </w:p>
              </w:tc>
              <w:tc>
                <w:tcPr>
                  <w:tcW w:w="587" w:type="pct"/>
                  <w:tcBorders>
                    <w:top w:val="single" w:color="auto" w:sz="4" w:space="0"/>
                    <w:left w:val="single" w:color="auto" w:sz="4" w:space="0"/>
                    <w:bottom w:val="single" w:color="auto" w:sz="4" w:space="0"/>
                    <w:right w:val="single" w:color="auto" w:sz="4" w:space="0"/>
                  </w:tcBorders>
                  <w:vAlign w:val="center"/>
                </w:tcPr>
                <w:p w14:paraId="0B9D8965">
                  <w:pPr>
                    <w:jc w:val="center"/>
                    <w:rPr>
                      <w:color w:val="auto"/>
                      <w:szCs w:val="21"/>
                    </w:rPr>
                  </w:pPr>
                  <w:r>
                    <w:rPr>
                      <w:rFonts w:hint="eastAsia"/>
                      <w:color w:val="auto"/>
                      <w:szCs w:val="21"/>
                    </w:rPr>
                    <w:t>生活污水</w:t>
                  </w:r>
                </w:p>
              </w:tc>
              <w:tc>
                <w:tcPr>
                  <w:tcW w:w="434" w:type="pct"/>
                  <w:tcBorders>
                    <w:top w:val="single" w:color="auto" w:sz="4" w:space="0"/>
                    <w:left w:val="single" w:color="auto" w:sz="4" w:space="0"/>
                    <w:bottom w:val="single" w:color="auto" w:sz="4" w:space="0"/>
                    <w:right w:val="single" w:color="auto" w:sz="4" w:space="0"/>
                  </w:tcBorders>
                  <w:vAlign w:val="center"/>
                </w:tcPr>
                <w:p w14:paraId="45FF708B">
                  <w:pPr>
                    <w:ind w:left="-191" w:leftChars="-91" w:right="-139" w:rightChars="-66"/>
                    <w:jc w:val="center"/>
                    <w:rPr>
                      <w:color w:val="auto"/>
                      <w:szCs w:val="21"/>
                    </w:rPr>
                  </w:pPr>
                  <w:r>
                    <w:rPr>
                      <w:color w:val="auto"/>
                      <w:szCs w:val="21"/>
                    </w:rPr>
                    <w:t>COD</w:t>
                  </w:r>
                </w:p>
                <w:p w14:paraId="6ABC50D7">
                  <w:pPr>
                    <w:ind w:left="-191" w:leftChars="-91" w:right="-139" w:rightChars="-66"/>
                    <w:jc w:val="center"/>
                    <w:rPr>
                      <w:color w:val="auto"/>
                      <w:szCs w:val="21"/>
                    </w:rPr>
                  </w:pPr>
                  <w:r>
                    <w:rPr>
                      <w:color w:val="auto"/>
                      <w:szCs w:val="21"/>
                    </w:rPr>
                    <w:t>SS</w:t>
                  </w:r>
                </w:p>
                <w:p w14:paraId="67EF0F3B">
                  <w:pPr>
                    <w:ind w:left="-191" w:leftChars="-91" w:right="-139" w:rightChars="-66"/>
                    <w:jc w:val="center"/>
                    <w:rPr>
                      <w:rFonts w:hint="default" w:eastAsia="宋体"/>
                      <w:color w:val="auto"/>
                      <w:szCs w:val="21"/>
                      <w:lang w:val="en-US" w:eastAsia="zh-CN"/>
                    </w:rPr>
                  </w:pPr>
                  <w:r>
                    <w:rPr>
                      <w:color w:val="auto"/>
                      <w:szCs w:val="21"/>
                    </w:rPr>
                    <w:t>NH</w:t>
                  </w:r>
                  <w:r>
                    <w:rPr>
                      <w:color w:val="auto"/>
                      <w:szCs w:val="21"/>
                      <w:vertAlign w:val="subscript"/>
                    </w:rPr>
                    <w:t>3</w:t>
                  </w:r>
                  <w:r>
                    <w:rPr>
                      <w:color w:val="auto"/>
                      <w:szCs w:val="21"/>
                    </w:rPr>
                    <w:t>-N</w:t>
                  </w:r>
                  <w:r>
                    <w:rPr>
                      <w:rFonts w:hint="eastAsia"/>
                      <w:color w:val="auto"/>
                      <w:szCs w:val="21"/>
                      <w:lang w:eastAsia="zh-CN"/>
                    </w:rPr>
                    <w:t>、</w:t>
                  </w:r>
                  <w:r>
                    <w:rPr>
                      <w:rFonts w:hint="eastAsia"/>
                      <w:color w:val="auto"/>
                      <w:szCs w:val="21"/>
                      <w:lang w:val="en-US" w:eastAsia="zh-CN"/>
                    </w:rPr>
                    <w:t>BOD等</w:t>
                  </w:r>
                </w:p>
              </w:tc>
              <w:tc>
                <w:tcPr>
                  <w:tcW w:w="1361" w:type="pct"/>
                  <w:vMerge w:val="restart"/>
                  <w:tcBorders>
                    <w:top w:val="single" w:color="auto" w:sz="4" w:space="0"/>
                    <w:left w:val="single" w:color="auto" w:sz="4" w:space="0"/>
                    <w:right w:val="single" w:color="auto" w:sz="4" w:space="0"/>
                  </w:tcBorders>
                  <w:vAlign w:val="center"/>
                </w:tcPr>
                <w:p w14:paraId="5140A283">
                  <w:pPr>
                    <w:jc w:val="center"/>
                    <w:rPr>
                      <w:rFonts w:hint="default" w:eastAsia="宋体"/>
                      <w:color w:val="auto"/>
                      <w:szCs w:val="21"/>
                      <w:lang w:val="en-US" w:eastAsia="zh-CN"/>
                    </w:rPr>
                  </w:pPr>
                  <w:r>
                    <w:rPr>
                      <w:rFonts w:hint="eastAsia"/>
                      <w:color w:val="auto"/>
                      <w:szCs w:val="21"/>
                    </w:rPr>
                    <w:t>依托</w:t>
                  </w:r>
                  <w:r>
                    <w:rPr>
                      <w:rFonts w:hint="eastAsia"/>
                      <w:color w:val="auto"/>
                      <w:szCs w:val="21"/>
                      <w:lang w:val="en-US" w:eastAsia="zh-CN"/>
                    </w:rPr>
                    <w:t>厂区现有化粪池</w:t>
                  </w:r>
                </w:p>
              </w:tc>
              <w:tc>
                <w:tcPr>
                  <w:tcW w:w="1265" w:type="pct"/>
                  <w:vMerge w:val="restart"/>
                  <w:tcBorders>
                    <w:top w:val="single" w:color="auto" w:sz="4" w:space="0"/>
                    <w:left w:val="single" w:color="auto" w:sz="4" w:space="0"/>
                    <w:bottom w:val="single" w:color="auto" w:sz="4" w:space="0"/>
                    <w:right w:val="single" w:color="auto" w:sz="4" w:space="0"/>
                  </w:tcBorders>
                  <w:vAlign w:val="center"/>
                </w:tcPr>
                <w:p w14:paraId="639C675B">
                  <w:pPr>
                    <w:jc w:val="center"/>
                    <w:rPr>
                      <w:color w:val="auto"/>
                      <w:szCs w:val="21"/>
                    </w:rPr>
                  </w:pPr>
                  <w:r>
                    <w:rPr>
                      <w:color w:val="auto"/>
                      <w:szCs w:val="21"/>
                    </w:rPr>
                    <w:t>满足</w:t>
                  </w:r>
                  <w:r>
                    <w:rPr>
                      <w:rFonts w:hint="eastAsia"/>
                      <w:color w:val="auto"/>
                      <w:kern w:val="0"/>
                      <w:szCs w:val="21"/>
                    </w:rPr>
                    <w:t>蚌埠市第二污水处理厂接管标准、《关于明确市区截污入网企业污水排放标准的通知》（蚌环字[2010]171号）和《污水综合排放标准》表4中三级排放标准要求</w:t>
                  </w:r>
                </w:p>
              </w:tc>
              <w:tc>
                <w:tcPr>
                  <w:tcW w:w="568" w:type="pct"/>
                  <w:tcBorders>
                    <w:top w:val="single" w:color="auto" w:sz="4" w:space="0"/>
                    <w:left w:val="single" w:color="auto" w:sz="4" w:space="0"/>
                    <w:bottom w:val="single" w:color="auto" w:sz="4" w:space="0"/>
                    <w:right w:val="single" w:color="auto" w:sz="4" w:space="0"/>
                  </w:tcBorders>
                  <w:vAlign w:val="center"/>
                </w:tcPr>
                <w:p w14:paraId="709B8633">
                  <w:pPr>
                    <w:jc w:val="center"/>
                    <w:rPr>
                      <w:color w:val="auto"/>
                      <w:szCs w:val="21"/>
                    </w:rPr>
                  </w:pPr>
                  <w:r>
                    <w:rPr>
                      <w:color w:val="auto"/>
                      <w:szCs w:val="21"/>
                    </w:rPr>
                    <w:t>/</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175CA15C">
                  <w:pPr>
                    <w:widowControl/>
                    <w:jc w:val="left"/>
                    <w:rPr>
                      <w:color w:val="auto"/>
                      <w:szCs w:val="21"/>
                    </w:rPr>
                  </w:pPr>
                </w:p>
              </w:tc>
            </w:tr>
            <w:tr w14:paraId="4F0B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4" w:type="pct"/>
                  <w:tcBorders>
                    <w:top w:val="single" w:color="auto" w:sz="4" w:space="0"/>
                    <w:left w:val="single" w:color="auto" w:sz="4" w:space="0"/>
                    <w:bottom w:val="single" w:color="auto" w:sz="4" w:space="0"/>
                    <w:right w:val="single" w:color="auto" w:sz="4" w:space="0"/>
                  </w:tcBorders>
                  <w:vAlign w:val="center"/>
                </w:tcPr>
                <w:p w14:paraId="40C816FC">
                  <w:pPr>
                    <w:jc w:val="center"/>
                    <w:rPr>
                      <w:color w:val="auto"/>
                      <w:szCs w:val="21"/>
                    </w:rPr>
                  </w:pPr>
                  <w:r>
                    <w:rPr>
                      <w:rFonts w:hint="eastAsia"/>
                      <w:color w:val="auto"/>
                      <w:szCs w:val="21"/>
                    </w:rPr>
                    <w:t>噪声</w:t>
                  </w:r>
                </w:p>
              </w:tc>
              <w:tc>
                <w:tcPr>
                  <w:tcW w:w="587" w:type="pct"/>
                  <w:tcBorders>
                    <w:top w:val="single" w:color="auto" w:sz="4" w:space="0"/>
                    <w:left w:val="single" w:color="auto" w:sz="4" w:space="0"/>
                    <w:bottom w:val="single" w:color="auto" w:sz="4" w:space="0"/>
                    <w:right w:val="single" w:color="auto" w:sz="4" w:space="0"/>
                  </w:tcBorders>
                  <w:vAlign w:val="center"/>
                </w:tcPr>
                <w:p w14:paraId="36A7E0C9">
                  <w:pPr>
                    <w:jc w:val="center"/>
                    <w:rPr>
                      <w:color w:val="auto"/>
                      <w:szCs w:val="21"/>
                    </w:rPr>
                  </w:pPr>
                  <w:r>
                    <w:rPr>
                      <w:rFonts w:hint="eastAsia"/>
                      <w:color w:val="auto"/>
                      <w:szCs w:val="21"/>
                    </w:rPr>
                    <w:t>设备噪声</w:t>
                  </w:r>
                </w:p>
              </w:tc>
              <w:tc>
                <w:tcPr>
                  <w:tcW w:w="434" w:type="pct"/>
                  <w:tcBorders>
                    <w:top w:val="single" w:color="auto" w:sz="4" w:space="0"/>
                    <w:left w:val="single" w:color="auto" w:sz="4" w:space="0"/>
                    <w:bottom w:val="single" w:color="auto" w:sz="4" w:space="0"/>
                    <w:right w:val="single" w:color="auto" w:sz="4" w:space="0"/>
                  </w:tcBorders>
                  <w:vAlign w:val="center"/>
                </w:tcPr>
                <w:p w14:paraId="61C1E06C">
                  <w:pPr>
                    <w:ind w:left="-191" w:leftChars="-91" w:right="-139" w:rightChars="-66"/>
                    <w:jc w:val="center"/>
                    <w:rPr>
                      <w:color w:val="auto"/>
                      <w:szCs w:val="21"/>
                    </w:rPr>
                  </w:pPr>
                  <w:r>
                    <w:rPr>
                      <w:rFonts w:hint="eastAsia"/>
                      <w:color w:val="auto"/>
                      <w:szCs w:val="21"/>
                    </w:rPr>
                    <w:t>噪声</w:t>
                  </w:r>
                </w:p>
              </w:tc>
              <w:tc>
                <w:tcPr>
                  <w:tcW w:w="1361" w:type="pct"/>
                  <w:tcBorders>
                    <w:top w:val="single" w:color="auto" w:sz="4" w:space="0"/>
                    <w:left w:val="single" w:color="auto" w:sz="4" w:space="0"/>
                    <w:bottom w:val="single" w:color="auto" w:sz="4" w:space="0"/>
                    <w:right w:val="single" w:color="auto" w:sz="4" w:space="0"/>
                  </w:tcBorders>
                  <w:vAlign w:val="center"/>
                </w:tcPr>
                <w:p w14:paraId="36F5DF49">
                  <w:pPr>
                    <w:jc w:val="center"/>
                    <w:rPr>
                      <w:color w:val="auto"/>
                      <w:szCs w:val="21"/>
                    </w:rPr>
                  </w:pPr>
                  <w:r>
                    <w:rPr>
                      <w:rFonts w:hint="eastAsia"/>
                      <w:color w:val="auto"/>
                      <w:szCs w:val="21"/>
                    </w:rPr>
                    <w:t>建筑隔声，设置基础减振、机座加隔振垫</w:t>
                  </w:r>
                  <w:r>
                    <w:rPr>
                      <w:color w:val="auto"/>
                      <w:szCs w:val="21"/>
                    </w:rPr>
                    <w:t>(</w:t>
                  </w:r>
                  <w:r>
                    <w:rPr>
                      <w:rFonts w:hint="eastAsia"/>
                      <w:color w:val="auto"/>
                      <w:szCs w:val="21"/>
                    </w:rPr>
                    <w:t>圈</w:t>
                  </w:r>
                  <w:r>
                    <w:rPr>
                      <w:color w:val="auto"/>
                      <w:szCs w:val="21"/>
                    </w:rPr>
                    <w:t>)</w:t>
                  </w:r>
                  <w:r>
                    <w:rPr>
                      <w:rFonts w:hint="eastAsia"/>
                      <w:color w:val="auto"/>
                      <w:szCs w:val="21"/>
                    </w:rPr>
                    <w:t>或设减振器。</w:t>
                  </w:r>
                </w:p>
              </w:tc>
              <w:tc>
                <w:tcPr>
                  <w:tcW w:w="1265" w:type="pct"/>
                  <w:tcBorders>
                    <w:top w:val="single" w:color="auto" w:sz="4" w:space="0"/>
                    <w:left w:val="single" w:color="auto" w:sz="4" w:space="0"/>
                    <w:bottom w:val="single" w:color="auto" w:sz="4" w:space="0"/>
                    <w:right w:val="single" w:color="auto" w:sz="4" w:space="0"/>
                  </w:tcBorders>
                  <w:vAlign w:val="center"/>
                </w:tcPr>
                <w:p w14:paraId="083A0F48">
                  <w:pPr>
                    <w:jc w:val="center"/>
                    <w:rPr>
                      <w:color w:val="auto"/>
                      <w:szCs w:val="21"/>
                    </w:rPr>
                  </w:pPr>
                  <w:r>
                    <w:rPr>
                      <w:rFonts w:hint="eastAsia"/>
                      <w:color w:val="auto"/>
                      <w:szCs w:val="21"/>
                    </w:rPr>
                    <w:t>边界噪声符合《工业企业厂界环境噪声排放标准》（</w:t>
                  </w:r>
                  <w:r>
                    <w:rPr>
                      <w:color w:val="auto"/>
                      <w:szCs w:val="21"/>
                    </w:rPr>
                    <w:t>GB12348—2008</w:t>
                  </w:r>
                  <w:r>
                    <w:rPr>
                      <w:rFonts w:hint="eastAsia"/>
                      <w:color w:val="auto"/>
                      <w:szCs w:val="21"/>
                    </w:rPr>
                    <w:t>）标准中</w:t>
                  </w:r>
                  <w:r>
                    <w:rPr>
                      <w:color w:val="auto"/>
                      <w:szCs w:val="21"/>
                    </w:rPr>
                    <w:t>3</w:t>
                  </w:r>
                  <w:r>
                    <w:rPr>
                      <w:rFonts w:hint="eastAsia"/>
                      <w:color w:val="auto"/>
                      <w:szCs w:val="21"/>
                    </w:rPr>
                    <w:t>类标准要求</w:t>
                  </w:r>
                </w:p>
              </w:tc>
              <w:tc>
                <w:tcPr>
                  <w:tcW w:w="568" w:type="pct"/>
                  <w:tcBorders>
                    <w:top w:val="single" w:color="auto" w:sz="4" w:space="0"/>
                    <w:left w:val="single" w:color="auto" w:sz="4" w:space="0"/>
                    <w:bottom w:val="single" w:color="auto" w:sz="4" w:space="0"/>
                    <w:right w:val="single" w:color="auto" w:sz="4" w:space="0"/>
                  </w:tcBorders>
                  <w:vAlign w:val="center"/>
                </w:tcPr>
                <w:p w14:paraId="4F2BDBE9">
                  <w:pPr>
                    <w:jc w:val="center"/>
                    <w:rPr>
                      <w:color w:val="auto"/>
                      <w:szCs w:val="21"/>
                    </w:rPr>
                  </w:pPr>
                  <w:r>
                    <w:rPr>
                      <w:color w:val="auto"/>
                      <w:szCs w:val="21"/>
                    </w:rPr>
                    <w:t>5.0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15A5FE41">
                  <w:pPr>
                    <w:widowControl/>
                    <w:jc w:val="left"/>
                    <w:rPr>
                      <w:color w:val="auto"/>
                      <w:szCs w:val="21"/>
                    </w:rPr>
                  </w:pPr>
                </w:p>
              </w:tc>
            </w:tr>
            <w:tr w14:paraId="1EE4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4" w:type="pct"/>
                  <w:vMerge w:val="restart"/>
                  <w:tcBorders>
                    <w:top w:val="single" w:color="auto" w:sz="4" w:space="0"/>
                    <w:left w:val="single" w:color="auto" w:sz="4" w:space="0"/>
                    <w:right w:val="single" w:color="auto" w:sz="4" w:space="0"/>
                  </w:tcBorders>
                  <w:vAlign w:val="center"/>
                </w:tcPr>
                <w:p w14:paraId="3DD5E8F3">
                  <w:pPr>
                    <w:jc w:val="center"/>
                    <w:rPr>
                      <w:color w:val="auto"/>
                      <w:szCs w:val="21"/>
                    </w:rPr>
                  </w:pPr>
                  <w:r>
                    <w:rPr>
                      <w:rFonts w:hint="eastAsia"/>
                      <w:color w:val="auto"/>
                      <w:szCs w:val="21"/>
                    </w:rPr>
                    <w:t>固废</w:t>
                  </w:r>
                </w:p>
              </w:tc>
              <w:tc>
                <w:tcPr>
                  <w:tcW w:w="587" w:type="pct"/>
                  <w:vMerge w:val="restart"/>
                  <w:tcBorders>
                    <w:top w:val="single" w:color="auto" w:sz="4" w:space="0"/>
                    <w:left w:val="single" w:color="auto" w:sz="4" w:space="0"/>
                    <w:right w:val="single" w:color="auto" w:sz="4" w:space="0"/>
                  </w:tcBorders>
                  <w:vAlign w:val="center"/>
                </w:tcPr>
                <w:p w14:paraId="3CE5483F">
                  <w:pPr>
                    <w:jc w:val="center"/>
                    <w:rPr>
                      <w:color w:val="auto"/>
                      <w:szCs w:val="21"/>
                    </w:rPr>
                  </w:pPr>
                  <w:r>
                    <w:rPr>
                      <w:rFonts w:hint="eastAsia"/>
                      <w:color w:val="auto"/>
                      <w:szCs w:val="21"/>
                    </w:rPr>
                    <w:t>生产车间</w:t>
                  </w:r>
                </w:p>
              </w:tc>
              <w:tc>
                <w:tcPr>
                  <w:tcW w:w="434" w:type="pct"/>
                  <w:tcBorders>
                    <w:top w:val="single" w:color="auto" w:sz="4" w:space="0"/>
                    <w:left w:val="single" w:color="auto" w:sz="4" w:space="0"/>
                    <w:bottom w:val="single" w:color="auto" w:sz="4" w:space="0"/>
                    <w:right w:val="single" w:color="auto" w:sz="4" w:space="0"/>
                  </w:tcBorders>
                  <w:vAlign w:val="center"/>
                </w:tcPr>
                <w:p w14:paraId="538EBF17">
                  <w:pPr>
                    <w:ind w:left="-191" w:leftChars="-91" w:right="-139" w:rightChars="-66"/>
                    <w:jc w:val="center"/>
                    <w:rPr>
                      <w:color w:val="auto"/>
                      <w:szCs w:val="21"/>
                    </w:rPr>
                  </w:pPr>
                  <w:r>
                    <w:rPr>
                      <w:rFonts w:hint="eastAsia"/>
                      <w:color w:val="auto"/>
                      <w:szCs w:val="21"/>
                    </w:rPr>
                    <w:t>一般</w:t>
                  </w:r>
                </w:p>
                <w:p w14:paraId="602C7BF6">
                  <w:pPr>
                    <w:ind w:left="-191" w:leftChars="-91" w:right="-139" w:rightChars="-66"/>
                    <w:jc w:val="center"/>
                    <w:rPr>
                      <w:color w:val="auto"/>
                      <w:szCs w:val="21"/>
                    </w:rPr>
                  </w:pPr>
                  <w:r>
                    <w:rPr>
                      <w:rFonts w:hint="eastAsia"/>
                      <w:color w:val="auto"/>
                      <w:szCs w:val="21"/>
                    </w:rPr>
                    <w:t>固废</w:t>
                  </w:r>
                </w:p>
              </w:tc>
              <w:tc>
                <w:tcPr>
                  <w:tcW w:w="1361" w:type="pct"/>
                  <w:tcBorders>
                    <w:top w:val="single" w:color="auto" w:sz="4" w:space="0"/>
                    <w:left w:val="single" w:color="auto" w:sz="4" w:space="0"/>
                    <w:bottom w:val="single" w:color="auto" w:sz="4" w:space="0"/>
                    <w:right w:val="single" w:color="auto" w:sz="4" w:space="0"/>
                  </w:tcBorders>
                  <w:vAlign w:val="center"/>
                </w:tcPr>
                <w:p w14:paraId="2F11E91D">
                  <w:pPr>
                    <w:jc w:val="center"/>
                    <w:rPr>
                      <w:color w:val="auto"/>
                      <w:szCs w:val="21"/>
                    </w:rPr>
                  </w:pPr>
                  <w:r>
                    <w:rPr>
                      <w:rFonts w:hint="eastAsia"/>
                      <w:color w:val="auto"/>
                      <w:szCs w:val="21"/>
                    </w:rPr>
                    <w:t>设一般固废堆放场所</w:t>
                  </w:r>
                  <w:r>
                    <w:rPr>
                      <w:color w:val="auto"/>
                      <w:szCs w:val="21"/>
                    </w:rPr>
                    <w:t>20m</w:t>
                  </w:r>
                  <w:r>
                    <w:rPr>
                      <w:color w:val="auto"/>
                      <w:szCs w:val="21"/>
                      <w:vertAlign w:val="superscript"/>
                    </w:rPr>
                    <w:t>2</w:t>
                  </w:r>
                </w:p>
              </w:tc>
              <w:tc>
                <w:tcPr>
                  <w:tcW w:w="1265" w:type="pct"/>
                  <w:tcBorders>
                    <w:top w:val="single" w:color="auto" w:sz="4" w:space="0"/>
                    <w:left w:val="single" w:color="auto" w:sz="4" w:space="0"/>
                    <w:bottom w:val="single" w:color="auto" w:sz="4" w:space="0"/>
                    <w:right w:val="single" w:color="auto" w:sz="4" w:space="0"/>
                  </w:tcBorders>
                  <w:vAlign w:val="center"/>
                </w:tcPr>
                <w:p w14:paraId="7FA2889A">
                  <w:pPr>
                    <w:jc w:val="center"/>
                    <w:rPr>
                      <w:color w:val="auto"/>
                      <w:szCs w:val="21"/>
                    </w:rPr>
                  </w:pPr>
                  <w:r>
                    <w:rPr>
                      <w:rFonts w:hint="eastAsia"/>
                      <w:color w:val="auto"/>
                      <w:szCs w:val="21"/>
                    </w:rPr>
                    <w:t>执行《安徽省实施〈中华人民共和国固体废物污染环境防治法〉办法》</w:t>
                  </w:r>
                </w:p>
              </w:tc>
              <w:tc>
                <w:tcPr>
                  <w:tcW w:w="568" w:type="pct"/>
                  <w:tcBorders>
                    <w:top w:val="single" w:color="auto" w:sz="4" w:space="0"/>
                    <w:left w:val="single" w:color="auto" w:sz="4" w:space="0"/>
                    <w:bottom w:val="single" w:color="auto" w:sz="4" w:space="0"/>
                    <w:right w:val="single" w:color="auto" w:sz="4" w:space="0"/>
                  </w:tcBorders>
                  <w:vAlign w:val="center"/>
                </w:tcPr>
                <w:p w14:paraId="4F4B9D8A">
                  <w:pPr>
                    <w:jc w:val="center"/>
                    <w:rPr>
                      <w:color w:val="auto"/>
                      <w:szCs w:val="21"/>
                    </w:rPr>
                  </w:pPr>
                  <w:r>
                    <w:rPr>
                      <w:color w:val="auto"/>
                      <w:szCs w:val="21"/>
                    </w:rPr>
                    <w:t>2.0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2500934B">
                  <w:pPr>
                    <w:widowControl/>
                    <w:jc w:val="left"/>
                    <w:rPr>
                      <w:color w:val="auto"/>
                      <w:szCs w:val="21"/>
                    </w:rPr>
                  </w:pPr>
                </w:p>
              </w:tc>
            </w:tr>
            <w:tr w14:paraId="5321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4" w:type="pct"/>
                  <w:vMerge w:val="continue"/>
                  <w:tcBorders>
                    <w:left w:val="single" w:color="auto" w:sz="4" w:space="0"/>
                    <w:right w:val="single" w:color="auto" w:sz="4" w:space="0"/>
                  </w:tcBorders>
                  <w:vAlign w:val="center"/>
                </w:tcPr>
                <w:p w14:paraId="018B05A0">
                  <w:pPr>
                    <w:widowControl/>
                    <w:jc w:val="left"/>
                    <w:rPr>
                      <w:color w:val="auto"/>
                      <w:szCs w:val="21"/>
                    </w:rPr>
                  </w:pPr>
                </w:p>
              </w:tc>
              <w:tc>
                <w:tcPr>
                  <w:tcW w:w="587" w:type="pct"/>
                  <w:vMerge w:val="continue"/>
                  <w:tcBorders>
                    <w:left w:val="single" w:color="auto" w:sz="4" w:space="0"/>
                    <w:bottom w:val="single" w:color="auto" w:sz="4" w:space="0"/>
                    <w:right w:val="single" w:color="auto" w:sz="4" w:space="0"/>
                  </w:tcBorders>
                  <w:vAlign w:val="center"/>
                </w:tcPr>
                <w:p w14:paraId="54EA5360">
                  <w:pPr>
                    <w:jc w:val="center"/>
                    <w:rPr>
                      <w:color w:val="auto"/>
                      <w:szCs w:val="21"/>
                    </w:rPr>
                  </w:pPr>
                </w:p>
              </w:tc>
              <w:tc>
                <w:tcPr>
                  <w:tcW w:w="434" w:type="pct"/>
                  <w:tcBorders>
                    <w:top w:val="single" w:color="auto" w:sz="4" w:space="0"/>
                    <w:left w:val="single" w:color="auto" w:sz="4" w:space="0"/>
                    <w:bottom w:val="single" w:color="auto" w:sz="4" w:space="0"/>
                    <w:right w:val="single" w:color="auto" w:sz="4" w:space="0"/>
                  </w:tcBorders>
                  <w:vAlign w:val="center"/>
                </w:tcPr>
                <w:p w14:paraId="06621D10">
                  <w:pPr>
                    <w:ind w:left="-191" w:leftChars="-91" w:right="-139" w:rightChars="-66"/>
                    <w:jc w:val="center"/>
                    <w:rPr>
                      <w:color w:val="auto"/>
                      <w:szCs w:val="21"/>
                    </w:rPr>
                  </w:pPr>
                  <w:r>
                    <w:rPr>
                      <w:rFonts w:hint="eastAsia"/>
                      <w:color w:val="auto"/>
                      <w:szCs w:val="21"/>
                    </w:rPr>
                    <w:t>危险</w:t>
                  </w:r>
                </w:p>
                <w:p w14:paraId="4F7958C5">
                  <w:pPr>
                    <w:ind w:left="-191" w:leftChars="-91" w:right="-139" w:rightChars="-66"/>
                    <w:jc w:val="center"/>
                    <w:rPr>
                      <w:color w:val="auto"/>
                      <w:szCs w:val="21"/>
                    </w:rPr>
                  </w:pPr>
                  <w:r>
                    <w:rPr>
                      <w:rFonts w:hint="eastAsia"/>
                      <w:color w:val="auto"/>
                      <w:szCs w:val="21"/>
                    </w:rPr>
                    <w:t>废物</w:t>
                  </w:r>
                </w:p>
              </w:tc>
              <w:tc>
                <w:tcPr>
                  <w:tcW w:w="1361" w:type="pct"/>
                  <w:tcBorders>
                    <w:top w:val="single" w:color="auto" w:sz="4" w:space="0"/>
                    <w:left w:val="single" w:color="auto" w:sz="4" w:space="0"/>
                    <w:bottom w:val="single" w:color="auto" w:sz="4" w:space="0"/>
                    <w:right w:val="single" w:color="auto" w:sz="4" w:space="0"/>
                  </w:tcBorders>
                  <w:vAlign w:val="center"/>
                </w:tcPr>
                <w:p w14:paraId="1C6180C1">
                  <w:pPr>
                    <w:jc w:val="center"/>
                    <w:rPr>
                      <w:color w:val="auto"/>
                      <w:szCs w:val="21"/>
                    </w:rPr>
                  </w:pPr>
                  <w:r>
                    <w:rPr>
                      <w:rFonts w:hint="eastAsia"/>
                      <w:color w:val="auto"/>
                      <w:szCs w:val="21"/>
                    </w:rPr>
                    <w:t>设危废库</w:t>
                  </w:r>
                  <w:r>
                    <w:rPr>
                      <w:color w:val="auto"/>
                      <w:szCs w:val="21"/>
                    </w:rPr>
                    <w:t>10m</w:t>
                  </w:r>
                  <w:r>
                    <w:rPr>
                      <w:color w:val="auto"/>
                      <w:szCs w:val="21"/>
                      <w:vertAlign w:val="superscript"/>
                    </w:rPr>
                    <w:t>2</w:t>
                  </w:r>
                  <w:r>
                    <w:rPr>
                      <w:color w:val="auto"/>
                      <w:szCs w:val="21"/>
                    </w:rPr>
                    <w:t xml:space="preserve"> </w:t>
                  </w:r>
                </w:p>
              </w:tc>
              <w:tc>
                <w:tcPr>
                  <w:tcW w:w="1265" w:type="pct"/>
                  <w:tcBorders>
                    <w:top w:val="single" w:color="auto" w:sz="4" w:space="0"/>
                    <w:left w:val="single" w:color="auto" w:sz="4" w:space="0"/>
                    <w:bottom w:val="single" w:color="auto" w:sz="4" w:space="0"/>
                    <w:right w:val="single" w:color="auto" w:sz="4" w:space="0"/>
                  </w:tcBorders>
                  <w:vAlign w:val="center"/>
                </w:tcPr>
                <w:p w14:paraId="126D8603">
                  <w:pPr>
                    <w:jc w:val="center"/>
                    <w:rPr>
                      <w:color w:val="auto"/>
                      <w:szCs w:val="21"/>
                    </w:rPr>
                  </w:pPr>
                  <w:r>
                    <w:rPr>
                      <w:rFonts w:hint="eastAsia"/>
                      <w:color w:val="auto"/>
                      <w:szCs w:val="21"/>
                    </w:rPr>
                    <w:t>满足《危险废物贮存污染控制污染控制标准》（</w:t>
                  </w:r>
                  <w:r>
                    <w:rPr>
                      <w:color w:val="auto"/>
                      <w:szCs w:val="21"/>
                    </w:rPr>
                    <w:t>GB18597-2001</w:t>
                  </w:r>
                  <w:r>
                    <w:rPr>
                      <w:rFonts w:hint="eastAsia"/>
                      <w:color w:val="auto"/>
                      <w:szCs w:val="21"/>
                    </w:rPr>
                    <w:t>）及其</w:t>
                  </w:r>
                  <w:r>
                    <w:rPr>
                      <w:color w:val="auto"/>
                      <w:szCs w:val="21"/>
                    </w:rPr>
                    <w:t>2013</w:t>
                  </w:r>
                  <w:r>
                    <w:rPr>
                      <w:rFonts w:hint="eastAsia"/>
                      <w:color w:val="auto"/>
                      <w:szCs w:val="21"/>
                    </w:rPr>
                    <w:t>年修改单要求。</w:t>
                  </w:r>
                </w:p>
              </w:tc>
              <w:tc>
                <w:tcPr>
                  <w:tcW w:w="568" w:type="pct"/>
                  <w:tcBorders>
                    <w:top w:val="single" w:color="auto" w:sz="4" w:space="0"/>
                    <w:left w:val="single" w:color="auto" w:sz="4" w:space="0"/>
                    <w:bottom w:val="single" w:color="auto" w:sz="4" w:space="0"/>
                    <w:right w:val="single" w:color="auto" w:sz="4" w:space="0"/>
                  </w:tcBorders>
                  <w:vAlign w:val="center"/>
                </w:tcPr>
                <w:p w14:paraId="09B1D75B">
                  <w:pPr>
                    <w:jc w:val="center"/>
                    <w:rPr>
                      <w:color w:val="auto"/>
                      <w:szCs w:val="21"/>
                    </w:rPr>
                  </w:pPr>
                  <w:r>
                    <w:rPr>
                      <w:color w:val="auto"/>
                      <w:szCs w:val="21"/>
                    </w:rPr>
                    <w:t>3.0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2ABFD419">
                  <w:pPr>
                    <w:widowControl/>
                    <w:jc w:val="left"/>
                    <w:rPr>
                      <w:color w:val="auto"/>
                      <w:szCs w:val="21"/>
                    </w:rPr>
                  </w:pPr>
                </w:p>
              </w:tc>
            </w:tr>
            <w:tr w14:paraId="4737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24" w:type="pct"/>
                  <w:vMerge w:val="continue"/>
                  <w:tcBorders>
                    <w:left w:val="single" w:color="auto" w:sz="4" w:space="0"/>
                    <w:bottom w:val="single" w:color="auto" w:sz="4" w:space="0"/>
                    <w:right w:val="single" w:color="auto" w:sz="4" w:space="0"/>
                  </w:tcBorders>
                  <w:vAlign w:val="center"/>
                </w:tcPr>
                <w:p w14:paraId="1F78F539">
                  <w:pPr>
                    <w:widowControl/>
                    <w:jc w:val="left"/>
                    <w:rPr>
                      <w:color w:val="auto"/>
                      <w:szCs w:val="21"/>
                    </w:rPr>
                  </w:pPr>
                </w:p>
              </w:tc>
              <w:tc>
                <w:tcPr>
                  <w:tcW w:w="587" w:type="pct"/>
                  <w:tcBorders>
                    <w:left w:val="single" w:color="auto" w:sz="4" w:space="0"/>
                    <w:bottom w:val="single" w:color="auto" w:sz="4" w:space="0"/>
                    <w:right w:val="single" w:color="auto" w:sz="4" w:space="0"/>
                  </w:tcBorders>
                  <w:vAlign w:val="center"/>
                </w:tcPr>
                <w:p w14:paraId="6184B41A">
                  <w:pPr>
                    <w:jc w:val="center"/>
                    <w:rPr>
                      <w:color w:val="auto"/>
                      <w:szCs w:val="21"/>
                    </w:rPr>
                  </w:pPr>
                  <w:r>
                    <w:rPr>
                      <w:rFonts w:hint="eastAsia"/>
                      <w:color w:val="auto"/>
                      <w:szCs w:val="21"/>
                    </w:rPr>
                    <w:t>办公</w:t>
                  </w:r>
                </w:p>
                <w:p w14:paraId="0EF400C2">
                  <w:pPr>
                    <w:jc w:val="center"/>
                    <w:rPr>
                      <w:color w:val="auto"/>
                      <w:szCs w:val="21"/>
                    </w:rPr>
                  </w:pPr>
                  <w:r>
                    <w:rPr>
                      <w:color w:val="auto"/>
                      <w:szCs w:val="21"/>
                    </w:rPr>
                    <w:t>生活</w:t>
                  </w:r>
                </w:p>
              </w:tc>
              <w:tc>
                <w:tcPr>
                  <w:tcW w:w="434" w:type="pct"/>
                  <w:tcBorders>
                    <w:top w:val="single" w:color="auto" w:sz="4" w:space="0"/>
                    <w:left w:val="single" w:color="auto" w:sz="4" w:space="0"/>
                    <w:bottom w:val="single" w:color="auto" w:sz="4" w:space="0"/>
                    <w:right w:val="single" w:color="auto" w:sz="4" w:space="0"/>
                  </w:tcBorders>
                  <w:vAlign w:val="center"/>
                </w:tcPr>
                <w:p w14:paraId="7CDDCB48">
                  <w:pPr>
                    <w:ind w:left="-183" w:leftChars="-87" w:right="-172" w:rightChars="-82"/>
                    <w:jc w:val="center"/>
                    <w:rPr>
                      <w:color w:val="auto"/>
                      <w:szCs w:val="21"/>
                    </w:rPr>
                  </w:pPr>
                  <w:r>
                    <w:rPr>
                      <w:rFonts w:hint="eastAsia"/>
                      <w:color w:val="auto"/>
                      <w:szCs w:val="21"/>
                    </w:rPr>
                    <w:t>生活</w:t>
                  </w:r>
                </w:p>
                <w:p w14:paraId="1F07E114">
                  <w:pPr>
                    <w:ind w:left="-191" w:leftChars="-91" w:right="-139" w:rightChars="-66"/>
                    <w:jc w:val="center"/>
                    <w:rPr>
                      <w:color w:val="auto"/>
                      <w:szCs w:val="21"/>
                    </w:rPr>
                  </w:pPr>
                  <w:r>
                    <w:rPr>
                      <w:rFonts w:hint="eastAsia"/>
                      <w:color w:val="auto"/>
                      <w:szCs w:val="21"/>
                    </w:rPr>
                    <w:t>垃圾</w:t>
                  </w:r>
                </w:p>
              </w:tc>
              <w:tc>
                <w:tcPr>
                  <w:tcW w:w="1361" w:type="pct"/>
                  <w:tcBorders>
                    <w:top w:val="single" w:color="auto" w:sz="4" w:space="0"/>
                    <w:left w:val="single" w:color="auto" w:sz="4" w:space="0"/>
                    <w:bottom w:val="single" w:color="auto" w:sz="4" w:space="0"/>
                    <w:right w:val="single" w:color="auto" w:sz="4" w:space="0"/>
                  </w:tcBorders>
                  <w:vAlign w:val="center"/>
                </w:tcPr>
                <w:p w14:paraId="695EECE1">
                  <w:pPr>
                    <w:jc w:val="center"/>
                    <w:rPr>
                      <w:color w:val="auto"/>
                      <w:szCs w:val="21"/>
                    </w:rPr>
                  </w:pPr>
                  <w:r>
                    <w:rPr>
                      <w:rFonts w:hint="eastAsia"/>
                      <w:bCs/>
                      <w:color w:val="auto"/>
                      <w:szCs w:val="21"/>
                    </w:rPr>
                    <w:t>厂区内设</w:t>
                  </w:r>
                  <w:r>
                    <w:rPr>
                      <w:color w:val="auto"/>
                      <w:szCs w:val="21"/>
                    </w:rPr>
                    <w:t>生活垃圾桶</w:t>
                  </w:r>
                </w:p>
              </w:tc>
              <w:tc>
                <w:tcPr>
                  <w:tcW w:w="1265" w:type="pct"/>
                  <w:tcBorders>
                    <w:top w:val="single" w:color="auto" w:sz="4" w:space="0"/>
                    <w:left w:val="single" w:color="auto" w:sz="4" w:space="0"/>
                    <w:bottom w:val="single" w:color="auto" w:sz="4" w:space="0"/>
                    <w:right w:val="single" w:color="auto" w:sz="4" w:space="0"/>
                  </w:tcBorders>
                  <w:vAlign w:val="center"/>
                </w:tcPr>
                <w:p w14:paraId="102783BC">
                  <w:pPr>
                    <w:jc w:val="center"/>
                    <w:rPr>
                      <w:color w:val="auto"/>
                      <w:szCs w:val="21"/>
                    </w:rPr>
                  </w:pPr>
                  <w:r>
                    <w:rPr>
                      <w:rFonts w:hint="eastAsia"/>
                      <w:color w:val="auto"/>
                      <w:szCs w:val="21"/>
                    </w:rPr>
                    <w:t>/</w:t>
                  </w:r>
                </w:p>
              </w:tc>
              <w:tc>
                <w:tcPr>
                  <w:tcW w:w="568" w:type="pct"/>
                  <w:tcBorders>
                    <w:top w:val="single" w:color="auto" w:sz="4" w:space="0"/>
                    <w:left w:val="single" w:color="auto" w:sz="4" w:space="0"/>
                    <w:bottom w:val="single" w:color="auto" w:sz="4" w:space="0"/>
                    <w:right w:val="single" w:color="auto" w:sz="4" w:space="0"/>
                  </w:tcBorders>
                  <w:vAlign w:val="center"/>
                </w:tcPr>
                <w:p w14:paraId="13A4748F">
                  <w:pPr>
                    <w:jc w:val="center"/>
                    <w:rPr>
                      <w:rFonts w:hint="default" w:eastAsia="宋体"/>
                      <w:color w:val="auto"/>
                      <w:szCs w:val="21"/>
                      <w:lang w:val="en-US" w:eastAsia="zh-CN"/>
                    </w:rPr>
                  </w:pPr>
                  <w:r>
                    <w:rPr>
                      <w:rFonts w:hint="eastAsia"/>
                      <w:color w:val="auto"/>
                      <w:szCs w:val="21"/>
                      <w:lang w:val="en-US" w:eastAsia="zh-CN"/>
                    </w:rPr>
                    <w:t>1.0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578C4FAC">
                  <w:pPr>
                    <w:widowControl/>
                    <w:jc w:val="left"/>
                    <w:rPr>
                      <w:color w:val="auto"/>
                      <w:szCs w:val="21"/>
                    </w:rPr>
                  </w:pPr>
                </w:p>
              </w:tc>
            </w:tr>
            <w:tr w14:paraId="1E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7" w:type="pct"/>
                  <w:gridSpan w:val="3"/>
                  <w:tcBorders>
                    <w:top w:val="single" w:color="auto" w:sz="4" w:space="0"/>
                    <w:left w:val="single" w:color="auto" w:sz="4" w:space="0"/>
                    <w:bottom w:val="single" w:color="auto" w:sz="4" w:space="0"/>
                    <w:right w:val="single" w:color="auto" w:sz="4" w:space="0"/>
                  </w:tcBorders>
                  <w:vAlign w:val="center"/>
                </w:tcPr>
                <w:p w14:paraId="4B8972E8">
                  <w:pPr>
                    <w:jc w:val="center"/>
                    <w:rPr>
                      <w:color w:val="auto"/>
                      <w:szCs w:val="21"/>
                    </w:rPr>
                  </w:pPr>
                  <w:r>
                    <w:rPr>
                      <w:rFonts w:hint="eastAsia"/>
                      <w:color w:val="auto"/>
                      <w:szCs w:val="21"/>
                    </w:rPr>
                    <w:t>地下水、土壤</w:t>
                  </w:r>
                </w:p>
              </w:tc>
              <w:tc>
                <w:tcPr>
                  <w:tcW w:w="1361" w:type="pct"/>
                  <w:tcBorders>
                    <w:top w:val="single" w:color="auto" w:sz="4" w:space="0"/>
                    <w:left w:val="single" w:color="auto" w:sz="4" w:space="0"/>
                    <w:bottom w:val="single" w:color="auto" w:sz="4" w:space="0"/>
                    <w:right w:val="single" w:color="auto" w:sz="4" w:space="0"/>
                  </w:tcBorders>
                  <w:vAlign w:val="center"/>
                </w:tcPr>
                <w:p w14:paraId="2C9001A5">
                  <w:pPr>
                    <w:widowControl/>
                    <w:jc w:val="center"/>
                    <w:rPr>
                      <w:color w:val="auto"/>
                      <w:szCs w:val="21"/>
                    </w:rPr>
                  </w:pPr>
                  <w:r>
                    <w:rPr>
                      <w:rFonts w:hint="eastAsia"/>
                      <w:color w:val="auto"/>
                      <w:szCs w:val="21"/>
                      <w:highlight w:val="none"/>
                    </w:rPr>
                    <w:t>分区防渗</w:t>
                  </w:r>
                  <w:r>
                    <w:rPr>
                      <w:rFonts w:hint="eastAsia"/>
                      <w:color w:val="auto"/>
                      <w:szCs w:val="21"/>
                      <w:highlight w:val="none"/>
                      <w:lang w:eastAsia="zh-CN"/>
                    </w:rPr>
                    <w:t>：</w:t>
                  </w:r>
                  <w:r>
                    <w:rPr>
                      <w:rFonts w:hint="eastAsia"/>
                      <w:color w:val="auto"/>
                      <w:szCs w:val="21"/>
                      <w:highlight w:val="none"/>
                    </w:rPr>
                    <w:t>危废库重点防渗；固废暂存间、生产车间、原料库、成品库进行一般防渗；办公区、车间内部道路等进行简单防渗</w:t>
                  </w:r>
                </w:p>
              </w:tc>
              <w:tc>
                <w:tcPr>
                  <w:tcW w:w="1265" w:type="pct"/>
                  <w:tcBorders>
                    <w:top w:val="single" w:color="auto" w:sz="4" w:space="0"/>
                    <w:left w:val="single" w:color="auto" w:sz="4" w:space="0"/>
                    <w:bottom w:val="single" w:color="auto" w:sz="4" w:space="0"/>
                    <w:right w:val="single" w:color="auto" w:sz="4" w:space="0"/>
                  </w:tcBorders>
                  <w:vAlign w:val="center"/>
                </w:tcPr>
                <w:p w14:paraId="1E2499FD">
                  <w:pPr>
                    <w:jc w:val="center"/>
                    <w:rPr>
                      <w:color w:val="auto"/>
                      <w:szCs w:val="21"/>
                    </w:rPr>
                  </w:pPr>
                  <w:r>
                    <w:rPr>
                      <w:rFonts w:hint="eastAsia"/>
                      <w:color w:val="auto"/>
                      <w:szCs w:val="21"/>
                    </w:rPr>
                    <w:t>不污染地下水、土壤</w:t>
                  </w:r>
                </w:p>
              </w:tc>
              <w:tc>
                <w:tcPr>
                  <w:tcW w:w="568" w:type="pct"/>
                  <w:tcBorders>
                    <w:top w:val="single" w:color="auto" w:sz="4" w:space="0"/>
                    <w:left w:val="single" w:color="auto" w:sz="4" w:space="0"/>
                    <w:bottom w:val="single" w:color="auto" w:sz="4" w:space="0"/>
                    <w:right w:val="single" w:color="auto" w:sz="4" w:space="0"/>
                  </w:tcBorders>
                  <w:vAlign w:val="center"/>
                </w:tcPr>
                <w:p w14:paraId="53A81FAD">
                  <w:pPr>
                    <w:jc w:val="center"/>
                    <w:rPr>
                      <w:color w:val="auto"/>
                      <w:szCs w:val="21"/>
                    </w:rPr>
                  </w:pPr>
                  <w:r>
                    <w:rPr>
                      <w:rFonts w:hint="eastAsia"/>
                      <w:color w:val="auto"/>
                      <w:szCs w:val="21"/>
                      <w:lang w:val="en-US" w:eastAsia="zh-CN"/>
                    </w:rPr>
                    <w:t>7</w:t>
                  </w:r>
                  <w:r>
                    <w:rPr>
                      <w:color w:val="auto"/>
                      <w:szCs w:val="21"/>
                    </w:rPr>
                    <w:t>.0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04C56AF7">
                  <w:pPr>
                    <w:widowControl/>
                    <w:jc w:val="left"/>
                    <w:rPr>
                      <w:color w:val="auto"/>
                      <w:szCs w:val="21"/>
                    </w:rPr>
                  </w:pPr>
                </w:p>
              </w:tc>
            </w:tr>
            <w:tr w14:paraId="30EC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47" w:type="pct"/>
                  <w:gridSpan w:val="3"/>
                  <w:tcBorders>
                    <w:top w:val="single" w:color="auto" w:sz="4" w:space="0"/>
                    <w:left w:val="single" w:color="auto" w:sz="4" w:space="0"/>
                    <w:bottom w:val="single" w:color="auto" w:sz="4" w:space="0"/>
                    <w:right w:val="single" w:color="auto" w:sz="4" w:space="0"/>
                  </w:tcBorders>
                  <w:vAlign w:val="center"/>
                </w:tcPr>
                <w:p w14:paraId="298718B2">
                  <w:pPr>
                    <w:jc w:val="center"/>
                    <w:rPr>
                      <w:color w:val="auto"/>
                      <w:szCs w:val="21"/>
                    </w:rPr>
                  </w:pPr>
                  <w:r>
                    <w:rPr>
                      <w:rFonts w:hint="eastAsia"/>
                      <w:color w:val="auto"/>
                      <w:szCs w:val="21"/>
                    </w:rPr>
                    <w:t>环境风险</w:t>
                  </w:r>
                </w:p>
              </w:tc>
              <w:tc>
                <w:tcPr>
                  <w:tcW w:w="1361" w:type="pct"/>
                  <w:tcBorders>
                    <w:top w:val="single" w:color="auto" w:sz="4" w:space="0"/>
                    <w:left w:val="single" w:color="auto" w:sz="4" w:space="0"/>
                    <w:bottom w:val="single" w:color="auto" w:sz="4" w:space="0"/>
                    <w:right w:val="single" w:color="auto" w:sz="4" w:space="0"/>
                  </w:tcBorders>
                  <w:vAlign w:val="center"/>
                </w:tcPr>
                <w:p w14:paraId="7716A9BF">
                  <w:pPr>
                    <w:jc w:val="center"/>
                    <w:rPr>
                      <w:color w:val="auto"/>
                      <w:szCs w:val="21"/>
                    </w:rPr>
                  </w:pPr>
                  <w:r>
                    <w:rPr>
                      <w:rFonts w:hint="eastAsia"/>
                      <w:color w:val="auto"/>
                      <w:szCs w:val="21"/>
                    </w:rPr>
                    <w:t>应急物资</w:t>
                  </w:r>
                </w:p>
              </w:tc>
              <w:tc>
                <w:tcPr>
                  <w:tcW w:w="1265" w:type="pct"/>
                  <w:tcBorders>
                    <w:top w:val="single" w:color="auto" w:sz="4" w:space="0"/>
                    <w:left w:val="single" w:color="auto" w:sz="4" w:space="0"/>
                    <w:bottom w:val="single" w:color="auto" w:sz="4" w:space="0"/>
                    <w:right w:val="single" w:color="auto" w:sz="4" w:space="0"/>
                  </w:tcBorders>
                  <w:vAlign w:val="center"/>
                </w:tcPr>
                <w:p w14:paraId="62F4959C">
                  <w:pPr>
                    <w:jc w:val="center"/>
                    <w:rPr>
                      <w:color w:val="auto"/>
                      <w:szCs w:val="21"/>
                    </w:rPr>
                  </w:pPr>
                  <w:r>
                    <w:rPr>
                      <w:rFonts w:hint="eastAsia"/>
                      <w:color w:val="auto"/>
                      <w:szCs w:val="21"/>
                    </w:rPr>
                    <w:t>降低环境风险影响</w:t>
                  </w:r>
                </w:p>
              </w:tc>
              <w:tc>
                <w:tcPr>
                  <w:tcW w:w="568" w:type="pct"/>
                  <w:tcBorders>
                    <w:top w:val="single" w:color="auto" w:sz="4" w:space="0"/>
                    <w:left w:val="single" w:color="auto" w:sz="4" w:space="0"/>
                    <w:bottom w:val="single" w:color="auto" w:sz="4" w:space="0"/>
                    <w:right w:val="single" w:color="auto" w:sz="4" w:space="0"/>
                  </w:tcBorders>
                  <w:vAlign w:val="center"/>
                </w:tcPr>
                <w:p w14:paraId="7F6E11D1">
                  <w:pPr>
                    <w:jc w:val="center"/>
                    <w:rPr>
                      <w:rFonts w:hint="default" w:eastAsia="宋体"/>
                      <w:color w:val="auto"/>
                      <w:szCs w:val="21"/>
                      <w:lang w:val="en-US" w:eastAsia="zh-CN"/>
                    </w:rPr>
                  </w:pPr>
                  <w:r>
                    <w:rPr>
                      <w:rFonts w:hint="eastAsia"/>
                      <w:color w:val="auto"/>
                      <w:szCs w:val="21"/>
                      <w:lang w:val="en-US" w:eastAsia="zh-CN"/>
                    </w:rPr>
                    <w:t>2.0</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603010E2">
                  <w:pPr>
                    <w:widowControl/>
                    <w:jc w:val="left"/>
                    <w:rPr>
                      <w:color w:val="auto"/>
                      <w:szCs w:val="21"/>
                    </w:rPr>
                  </w:pPr>
                </w:p>
              </w:tc>
            </w:tr>
            <w:tr w14:paraId="5076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73" w:type="pct"/>
                  <w:gridSpan w:val="5"/>
                  <w:tcBorders>
                    <w:top w:val="single" w:color="auto" w:sz="4" w:space="0"/>
                    <w:left w:val="single" w:color="auto" w:sz="4" w:space="0"/>
                    <w:bottom w:val="single" w:color="auto" w:sz="4" w:space="0"/>
                    <w:right w:val="single" w:color="auto" w:sz="4" w:space="0"/>
                  </w:tcBorders>
                  <w:vAlign w:val="center"/>
                </w:tcPr>
                <w:p w14:paraId="409AD637">
                  <w:pPr>
                    <w:jc w:val="center"/>
                    <w:rPr>
                      <w:color w:val="auto"/>
                      <w:szCs w:val="21"/>
                    </w:rPr>
                  </w:pPr>
                  <w:r>
                    <w:rPr>
                      <w:rFonts w:hint="eastAsia"/>
                      <w:color w:val="auto"/>
                      <w:szCs w:val="21"/>
                    </w:rPr>
                    <w:t>合计</w:t>
                  </w:r>
                </w:p>
              </w:tc>
              <w:tc>
                <w:tcPr>
                  <w:tcW w:w="568" w:type="pct"/>
                  <w:tcBorders>
                    <w:top w:val="single" w:color="auto" w:sz="4" w:space="0"/>
                    <w:left w:val="single" w:color="auto" w:sz="4" w:space="0"/>
                    <w:bottom w:val="single" w:color="auto" w:sz="4" w:space="0"/>
                    <w:right w:val="single" w:color="auto" w:sz="4" w:space="0"/>
                  </w:tcBorders>
                  <w:vAlign w:val="center"/>
                </w:tcPr>
                <w:p w14:paraId="5E11D1D1">
                  <w:pPr>
                    <w:jc w:val="center"/>
                    <w:rPr>
                      <w:rFonts w:hint="default" w:eastAsia="宋体"/>
                      <w:color w:val="auto"/>
                      <w:szCs w:val="21"/>
                      <w:lang w:val="en-US" w:eastAsia="zh-CN"/>
                    </w:rPr>
                  </w:pPr>
                  <w:r>
                    <w:rPr>
                      <w:rFonts w:hint="eastAsia"/>
                      <w:color w:val="auto"/>
                      <w:szCs w:val="21"/>
                      <w:lang w:val="en-US" w:eastAsia="zh-CN"/>
                    </w:rPr>
                    <w:t>32</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42FA4797">
                  <w:pPr>
                    <w:widowControl/>
                    <w:jc w:val="left"/>
                    <w:rPr>
                      <w:color w:val="auto"/>
                      <w:szCs w:val="21"/>
                    </w:rPr>
                  </w:pPr>
                </w:p>
              </w:tc>
            </w:tr>
            <w:bookmarkEnd w:id="11"/>
          </w:tbl>
          <w:p w14:paraId="110949D7">
            <w:pPr>
              <w:spacing w:line="500" w:lineRule="atLeast"/>
              <w:rPr>
                <w:rFonts w:ascii="宋体" w:hAnsi="宋体" w:cs="宋体"/>
                <w:bCs/>
                <w:color w:val="auto"/>
                <w:spacing w:val="-10"/>
                <w:szCs w:val="21"/>
              </w:rPr>
            </w:pPr>
          </w:p>
          <w:p w14:paraId="65F3F6E2">
            <w:pPr>
              <w:pStyle w:val="5"/>
              <w:rPr>
                <w:rFonts w:ascii="宋体" w:hAnsi="宋体" w:cs="宋体"/>
                <w:bCs/>
                <w:color w:val="auto"/>
                <w:spacing w:val="-10"/>
                <w:szCs w:val="21"/>
              </w:rPr>
            </w:pPr>
          </w:p>
          <w:p w14:paraId="0721BD9E">
            <w:pPr>
              <w:rPr>
                <w:rFonts w:ascii="宋体" w:hAnsi="宋体" w:cs="宋体"/>
                <w:bCs/>
                <w:color w:val="auto"/>
                <w:spacing w:val="-10"/>
                <w:szCs w:val="21"/>
              </w:rPr>
            </w:pPr>
          </w:p>
          <w:p w14:paraId="23EC88E3">
            <w:pPr>
              <w:pStyle w:val="5"/>
              <w:rPr>
                <w:rFonts w:ascii="宋体" w:hAnsi="宋体" w:cs="宋体"/>
                <w:bCs/>
                <w:color w:val="auto"/>
                <w:spacing w:val="-10"/>
                <w:szCs w:val="21"/>
              </w:rPr>
            </w:pPr>
          </w:p>
          <w:p w14:paraId="22FE5539">
            <w:pPr>
              <w:rPr>
                <w:rFonts w:ascii="宋体" w:hAnsi="宋体" w:cs="宋体"/>
                <w:bCs/>
                <w:color w:val="auto"/>
                <w:spacing w:val="-10"/>
                <w:szCs w:val="21"/>
              </w:rPr>
            </w:pPr>
          </w:p>
          <w:p w14:paraId="218237F1">
            <w:pPr>
              <w:pStyle w:val="5"/>
              <w:rPr>
                <w:color w:val="auto"/>
              </w:rPr>
            </w:pPr>
          </w:p>
          <w:p w14:paraId="43EE96BC">
            <w:pPr>
              <w:rPr>
                <w:rFonts w:ascii="宋体" w:hAnsi="宋体" w:cs="宋体"/>
                <w:bCs/>
                <w:color w:val="auto"/>
                <w:spacing w:val="-10"/>
                <w:szCs w:val="21"/>
              </w:rPr>
            </w:pPr>
          </w:p>
          <w:p w14:paraId="3247D4A3">
            <w:pPr>
              <w:rPr>
                <w:rFonts w:ascii="宋体" w:hAnsi="宋体" w:cs="宋体"/>
                <w:bCs/>
                <w:color w:val="auto"/>
                <w:spacing w:val="-10"/>
                <w:szCs w:val="21"/>
              </w:rPr>
            </w:pPr>
          </w:p>
          <w:p w14:paraId="7130A9BD">
            <w:pPr>
              <w:pStyle w:val="5"/>
              <w:rPr>
                <w:rFonts w:ascii="宋体" w:hAnsi="宋体" w:cs="宋体"/>
                <w:bCs/>
                <w:color w:val="auto"/>
                <w:spacing w:val="-10"/>
                <w:szCs w:val="21"/>
              </w:rPr>
            </w:pPr>
          </w:p>
          <w:p w14:paraId="3E5E64E1">
            <w:pPr>
              <w:rPr>
                <w:rFonts w:ascii="宋体" w:hAnsi="宋体" w:cs="宋体"/>
                <w:bCs/>
                <w:color w:val="auto"/>
                <w:spacing w:val="-10"/>
                <w:szCs w:val="21"/>
              </w:rPr>
            </w:pPr>
          </w:p>
          <w:p w14:paraId="3D3AB2EE">
            <w:pPr>
              <w:spacing w:line="500" w:lineRule="atLeast"/>
              <w:rPr>
                <w:rFonts w:ascii="宋体" w:hAnsi="宋体" w:cs="宋体"/>
                <w:bCs/>
                <w:color w:val="auto"/>
                <w:spacing w:val="-10"/>
                <w:szCs w:val="21"/>
              </w:rPr>
            </w:pPr>
          </w:p>
        </w:tc>
      </w:tr>
    </w:tbl>
    <w:p w14:paraId="574EB643">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cols w:space="720" w:num="1"/>
          <w:docGrid w:linePitch="312" w:charSpace="0"/>
        </w:sectPr>
      </w:pPr>
    </w:p>
    <w:p w14:paraId="380F2C0D">
      <w:pPr>
        <w:widowControl/>
        <w:ind w:left="-424" w:leftChars="-202"/>
        <w:jc w:val="center"/>
        <w:outlineLvl w:val="0"/>
        <w:rPr>
          <w:rFonts w:ascii="黑体" w:hAnsi="黑体" w:eastAsia="黑体"/>
          <w:snapToGrid w:val="0"/>
          <w:color w:val="auto"/>
          <w:kern w:val="0"/>
          <w:sz w:val="30"/>
          <w:szCs w:val="30"/>
        </w:rPr>
      </w:pPr>
      <w:r>
        <w:rPr>
          <w:rFonts w:hint="eastAsia" w:ascii="黑体" w:hAnsi="黑体" w:eastAsia="黑体"/>
          <w:snapToGrid w:val="0"/>
          <w:color w:val="auto"/>
          <w:kern w:val="0"/>
          <w:sz w:val="30"/>
          <w:szCs w:val="30"/>
        </w:rPr>
        <w:t>五、</w:t>
      </w:r>
      <w:bookmarkStart w:id="12" w:name="_Hlk54167917"/>
      <w:r>
        <w:rPr>
          <w:rFonts w:hint="eastAsia" w:ascii="黑体" w:hAnsi="黑体" w:eastAsia="黑体"/>
          <w:snapToGrid w:val="0"/>
          <w:color w:val="auto"/>
          <w:kern w:val="0"/>
          <w:sz w:val="30"/>
          <w:szCs w:val="30"/>
        </w:rPr>
        <w:t>环境保护措施监督检查清单</w:t>
      </w:r>
      <w:bookmarkEnd w:id="12"/>
    </w:p>
    <w:tbl>
      <w:tblPr>
        <w:tblStyle w:val="26"/>
        <w:tblW w:w="97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59"/>
        <w:gridCol w:w="1276"/>
        <w:gridCol w:w="3118"/>
        <w:gridCol w:w="2981"/>
      </w:tblGrid>
      <w:tr w14:paraId="173C5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1" w:type="dxa"/>
            <w:tcBorders>
              <w:tl2br w:val="single" w:color="auto" w:sz="4" w:space="0"/>
            </w:tcBorders>
            <w:vAlign w:val="center"/>
          </w:tcPr>
          <w:p w14:paraId="6EA42980">
            <w:pPr>
              <w:adjustRightInd w:val="0"/>
              <w:snapToGrid w:val="0"/>
              <w:ind w:left="73" w:leftChars="35" w:right="-250" w:rightChars="-119" w:firstLine="91" w:firstLineChars="38"/>
              <w:rPr>
                <w:color w:val="auto"/>
                <w:sz w:val="24"/>
              </w:rPr>
            </w:pPr>
            <w:r>
              <w:rPr>
                <w:color w:val="auto"/>
                <w:sz w:val="24"/>
              </w:rPr>
              <w:t>内容</w:t>
            </w:r>
          </w:p>
          <w:p w14:paraId="50DFBF32">
            <w:pPr>
              <w:adjustRightInd w:val="0"/>
              <w:snapToGrid w:val="0"/>
              <w:ind w:left="-118" w:leftChars="-56"/>
              <w:rPr>
                <w:color w:val="auto"/>
                <w:sz w:val="24"/>
              </w:rPr>
            </w:pPr>
            <w:r>
              <w:rPr>
                <w:color w:val="auto"/>
                <w:sz w:val="24"/>
              </w:rPr>
              <w:t>要素</w:t>
            </w:r>
          </w:p>
        </w:tc>
        <w:tc>
          <w:tcPr>
            <w:tcW w:w="1559" w:type="dxa"/>
            <w:vAlign w:val="center"/>
          </w:tcPr>
          <w:p w14:paraId="37CD3F42">
            <w:pPr>
              <w:adjustRightInd w:val="0"/>
              <w:snapToGrid w:val="0"/>
              <w:jc w:val="center"/>
              <w:rPr>
                <w:color w:val="auto"/>
                <w:sz w:val="24"/>
              </w:rPr>
            </w:pPr>
            <w:r>
              <w:rPr>
                <w:color w:val="auto"/>
                <w:sz w:val="24"/>
              </w:rPr>
              <w:t>排放口(编号、名称)/污染源</w:t>
            </w:r>
          </w:p>
        </w:tc>
        <w:tc>
          <w:tcPr>
            <w:tcW w:w="1276" w:type="dxa"/>
            <w:vAlign w:val="center"/>
          </w:tcPr>
          <w:p w14:paraId="370CCC22">
            <w:pPr>
              <w:adjustRightInd w:val="0"/>
              <w:snapToGrid w:val="0"/>
              <w:ind w:left="-106" w:leftChars="-51" w:right="-107" w:rightChars="-51" w:hanging="1"/>
              <w:jc w:val="center"/>
              <w:rPr>
                <w:color w:val="auto"/>
                <w:sz w:val="24"/>
              </w:rPr>
            </w:pPr>
            <w:r>
              <w:rPr>
                <w:color w:val="auto"/>
                <w:sz w:val="24"/>
              </w:rPr>
              <w:t>污染物</w:t>
            </w:r>
          </w:p>
          <w:p w14:paraId="2EF018CB">
            <w:pPr>
              <w:adjustRightInd w:val="0"/>
              <w:snapToGrid w:val="0"/>
              <w:ind w:left="-106" w:leftChars="-51" w:right="-107" w:rightChars="-51" w:hanging="1"/>
              <w:jc w:val="center"/>
              <w:rPr>
                <w:color w:val="auto"/>
                <w:sz w:val="24"/>
              </w:rPr>
            </w:pPr>
            <w:r>
              <w:rPr>
                <w:color w:val="auto"/>
                <w:sz w:val="24"/>
              </w:rPr>
              <w:t>项目</w:t>
            </w:r>
          </w:p>
        </w:tc>
        <w:tc>
          <w:tcPr>
            <w:tcW w:w="3118" w:type="dxa"/>
            <w:vAlign w:val="center"/>
          </w:tcPr>
          <w:p w14:paraId="702C12D2">
            <w:pPr>
              <w:adjustRightInd w:val="0"/>
              <w:snapToGrid w:val="0"/>
              <w:jc w:val="center"/>
              <w:rPr>
                <w:color w:val="auto"/>
                <w:sz w:val="24"/>
              </w:rPr>
            </w:pPr>
            <w:r>
              <w:rPr>
                <w:color w:val="auto"/>
                <w:sz w:val="24"/>
              </w:rPr>
              <w:t>环境保护措施</w:t>
            </w:r>
          </w:p>
        </w:tc>
        <w:tc>
          <w:tcPr>
            <w:tcW w:w="2981" w:type="dxa"/>
            <w:vAlign w:val="center"/>
          </w:tcPr>
          <w:p w14:paraId="0F39DDDA">
            <w:pPr>
              <w:adjustRightInd w:val="0"/>
              <w:snapToGrid w:val="0"/>
              <w:jc w:val="center"/>
              <w:rPr>
                <w:color w:val="auto"/>
                <w:sz w:val="24"/>
              </w:rPr>
            </w:pPr>
            <w:r>
              <w:rPr>
                <w:color w:val="auto"/>
                <w:sz w:val="24"/>
              </w:rPr>
              <w:t>执行标准</w:t>
            </w:r>
          </w:p>
        </w:tc>
      </w:tr>
      <w:tr w14:paraId="1014E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1" w:type="dxa"/>
            <w:vMerge w:val="restart"/>
            <w:vAlign w:val="center"/>
          </w:tcPr>
          <w:p w14:paraId="4F9EFAB2">
            <w:pPr>
              <w:adjustRightInd w:val="0"/>
              <w:snapToGrid w:val="0"/>
              <w:jc w:val="center"/>
              <w:rPr>
                <w:color w:val="auto"/>
                <w:sz w:val="24"/>
              </w:rPr>
            </w:pPr>
            <w:r>
              <w:rPr>
                <w:color w:val="auto"/>
                <w:sz w:val="24"/>
              </w:rPr>
              <w:t>大气</w:t>
            </w:r>
          </w:p>
          <w:p w14:paraId="1FC947F5">
            <w:pPr>
              <w:adjustRightInd w:val="0"/>
              <w:snapToGrid w:val="0"/>
              <w:jc w:val="center"/>
              <w:rPr>
                <w:color w:val="auto"/>
                <w:sz w:val="24"/>
              </w:rPr>
            </w:pPr>
            <w:r>
              <w:rPr>
                <w:color w:val="auto"/>
                <w:sz w:val="24"/>
              </w:rPr>
              <w:t>环境</w:t>
            </w:r>
          </w:p>
        </w:tc>
        <w:tc>
          <w:tcPr>
            <w:tcW w:w="1559" w:type="dxa"/>
            <w:vAlign w:val="center"/>
          </w:tcPr>
          <w:p w14:paraId="0ABF1A9A">
            <w:pPr>
              <w:jc w:val="center"/>
              <w:rPr>
                <w:color w:val="auto"/>
                <w:sz w:val="24"/>
              </w:rPr>
            </w:pPr>
            <w:r>
              <w:rPr>
                <w:color w:val="auto"/>
                <w:sz w:val="24"/>
              </w:rPr>
              <w:t>DA001</w:t>
            </w:r>
          </w:p>
        </w:tc>
        <w:tc>
          <w:tcPr>
            <w:tcW w:w="1276" w:type="dxa"/>
            <w:vAlign w:val="center"/>
          </w:tcPr>
          <w:p w14:paraId="780A7282">
            <w:pPr>
              <w:ind w:left="-191" w:leftChars="-91" w:right="-139" w:rightChars="-66"/>
              <w:jc w:val="center"/>
              <w:rPr>
                <w:color w:val="auto"/>
                <w:sz w:val="24"/>
              </w:rPr>
            </w:pPr>
            <w:r>
              <w:rPr>
                <w:rFonts w:hint="eastAsia"/>
                <w:color w:val="auto"/>
                <w:sz w:val="24"/>
              </w:rPr>
              <w:t>颗粒物</w:t>
            </w:r>
          </w:p>
          <w:p w14:paraId="255925E1">
            <w:pPr>
              <w:adjustRightInd w:val="0"/>
              <w:snapToGrid w:val="0"/>
              <w:ind w:left="-107" w:leftChars="-51" w:right="-107" w:rightChars="-51"/>
              <w:jc w:val="center"/>
              <w:rPr>
                <w:color w:val="auto"/>
                <w:sz w:val="24"/>
              </w:rPr>
            </w:pPr>
            <w:r>
              <w:rPr>
                <w:rFonts w:hint="eastAsia"/>
                <w:color w:val="auto"/>
                <w:sz w:val="24"/>
                <w:lang w:eastAsia="zh-CN"/>
              </w:rPr>
              <w:t>（</w:t>
            </w:r>
            <w:r>
              <w:rPr>
                <w:rFonts w:hint="eastAsia"/>
                <w:color w:val="auto"/>
                <w:sz w:val="24"/>
                <w:lang w:val="en-US" w:eastAsia="zh-CN"/>
              </w:rPr>
              <w:t>粉尘</w:t>
            </w:r>
            <w:r>
              <w:rPr>
                <w:rFonts w:hint="eastAsia"/>
                <w:color w:val="auto"/>
                <w:sz w:val="24"/>
                <w:lang w:eastAsia="zh-CN"/>
              </w:rPr>
              <w:t>）</w:t>
            </w:r>
          </w:p>
        </w:tc>
        <w:tc>
          <w:tcPr>
            <w:tcW w:w="3118" w:type="dxa"/>
            <w:vAlign w:val="center"/>
          </w:tcPr>
          <w:p w14:paraId="670A6558">
            <w:pPr>
              <w:jc w:val="center"/>
              <w:rPr>
                <w:color w:val="auto"/>
                <w:sz w:val="24"/>
              </w:rPr>
            </w:pPr>
            <w:r>
              <w:rPr>
                <w:rFonts w:hint="eastAsia"/>
                <w:color w:val="auto"/>
                <w:sz w:val="24"/>
                <w:lang w:val="en-US" w:eastAsia="zh-CN"/>
              </w:rPr>
              <w:t>投料口和包装口设置布袋除尘器</w:t>
            </w:r>
            <w:r>
              <w:rPr>
                <w:rFonts w:hint="eastAsia"/>
                <w:color w:val="auto"/>
                <w:sz w:val="24"/>
              </w:rPr>
              <w:t>处理后的废气经15m高的排气筒DA001排放，逸散废气无组织排放</w:t>
            </w:r>
          </w:p>
        </w:tc>
        <w:tc>
          <w:tcPr>
            <w:tcW w:w="2981" w:type="dxa"/>
            <w:vMerge w:val="restart"/>
            <w:vAlign w:val="center"/>
          </w:tcPr>
          <w:p w14:paraId="6CF554D2">
            <w:pPr>
              <w:widowControl/>
              <w:jc w:val="center"/>
              <w:rPr>
                <w:color w:val="auto"/>
                <w:sz w:val="24"/>
              </w:rPr>
            </w:pPr>
            <w:r>
              <w:rPr>
                <w:rFonts w:hint="eastAsia"/>
                <w:color w:val="auto"/>
                <w:sz w:val="24"/>
              </w:rPr>
              <w:t>满足《大气污染物综合排放标准》（GB16297-1996）表2新污染源大气污染物排放限值</w:t>
            </w:r>
          </w:p>
        </w:tc>
      </w:tr>
      <w:tr w14:paraId="30C7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1" w:type="dxa"/>
            <w:vMerge w:val="continue"/>
            <w:vAlign w:val="center"/>
          </w:tcPr>
          <w:p w14:paraId="4E8AC5FF">
            <w:pPr>
              <w:adjustRightInd w:val="0"/>
              <w:snapToGrid w:val="0"/>
              <w:jc w:val="center"/>
              <w:rPr>
                <w:color w:val="auto"/>
                <w:sz w:val="24"/>
              </w:rPr>
            </w:pPr>
          </w:p>
        </w:tc>
        <w:tc>
          <w:tcPr>
            <w:tcW w:w="1559" w:type="dxa"/>
            <w:vAlign w:val="center"/>
          </w:tcPr>
          <w:p w14:paraId="1D50A6B4">
            <w:pPr>
              <w:jc w:val="center"/>
              <w:rPr>
                <w:rFonts w:hint="default" w:eastAsia="宋体"/>
                <w:color w:val="auto"/>
                <w:sz w:val="24"/>
                <w:lang w:val="en-US" w:eastAsia="zh-CN"/>
              </w:rPr>
            </w:pPr>
            <w:r>
              <w:rPr>
                <w:rFonts w:hint="eastAsia"/>
                <w:color w:val="auto"/>
                <w:sz w:val="24"/>
                <w:lang w:val="en-US" w:eastAsia="zh-CN"/>
              </w:rPr>
              <w:t>缓冲仓卸料</w:t>
            </w:r>
          </w:p>
        </w:tc>
        <w:tc>
          <w:tcPr>
            <w:tcW w:w="1276" w:type="dxa"/>
            <w:vAlign w:val="center"/>
          </w:tcPr>
          <w:p w14:paraId="5E48373A">
            <w:pPr>
              <w:ind w:left="-191" w:leftChars="-91" w:right="-139" w:rightChars="-66"/>
              <w:jc w:val="center"/>
              <w:rPr>
                <w:color w:val="auto"/>
                <w:sz w:val="24"/>
              </w:rPr>
            </w:pPr>
            <w:r>
              <w:rPr>
                <w:rFonts w:hint="eastAsia"/>
                <w:color w:val="auto"/>
                <w:sz w:val="24"/>
              </w:rPr>
              <w:t>颗粒物</w:t>
            </w:r>
          </w:p>
          <w:p w14:paraId="53D775B6">
            <w:pPr>
              <w:adjustRightInd w:val="0"/>
              <w:snapToGrid w:val="0"/>
              <w:ind w:left="-107" w:leftChars="-51" w:right="-107" w:rightChars="-51"/>
              <w:jc w:val="center"/>
              <w:rPr>
                <w:rFonts w:hint="eastAsia"/>
                <w:color w:val="auto"/>
                <w:sz w:val="24"/>
                <w:lang w:eastAsia="zh-CN"/>
              </w:rPr>
            </w:pPr>
            <w:r>
              <w:rPr>
                <w:rFonts w:hint="eastAsia"/>
                <w:color w:val="auto"/>
                <w:sz w:val="24"/>
                <w:lang w:eastAsia="zh-CN"/>
              </w:rPr>
              <w:t>（</w:t>
            </w:r>
            <w:r>
              <w:rPr>
                <w:rFonts w:hint="eastAsia"/>
                <w:color w:val="auto"/>
                <w:sz w:val="24"/>
                <w:lang w:val="en-US" w:eastAsia="zh-CN"/>
              </w:rPr>
              <w:t>粉尘</w:t>
            </w:r>
            <w:r>
              <w:rPr>
                <w:rFonts w:hint="eastAsia"/>
                <w:color w:val="auto"/>
                <w:sz w:val="24"/>
                <w:lang w:eastAsia="zh-CN"/>
              </w:rPr>
              <w:t>）</w:t>
            </w:r>
          </w:p>
        </w:tc>
        <w:tc>
          <w:tcPr>
            <w:tcW w:w="3118" w:type="dxa"/>
            <w:vAlign w:val="center"/>
          </w:tcPr>
          <w:p w14:paraId="6B464721">
            <w:pPr>
              <w:jc w:val="center"/>
              <w:rPr>
                <w:rFonts w:hint="eastAsia"/>
                <w:color w:val="auto"/>
                <w:sz w:val="24"/>
                <w:lang w:val="en-US" w:eastAsia="zh-CN"/>
              </w:rPr>
            </w:pPr>
            <w:r>
              <w:rPr>
                <w:rFonts w:hint="eastAsia"/>
                <w:color w:val="auto"/>
                <w:sz w:val="24"/>
                <w:lang w:val="en-US" w:eastAsia="zh-CN"/>
              </w:rPr>
              <w:t>缓冲仓装卸粉尘采用</w:t>
            </w:r>
            <w:r>
              <w:rPr>
                <w:rFonts w:hint="eastAsia"/>
                <w:bCs/>
                <w:color w:val="auto"/>
                <w:sz w:val="24"/>
                <w:lang w:eastAsia="zh-CN"/>
              </w:rPr>
              <w:t>仓顶</w:t>
            </w:r>
            <w:r>
              <w:rPr>
                <w:rFonts w:hint="eastAsia"/>
                <w:bCs/>
                <w:color w:val="auto"/>
                <w:sz w:val="24"/>
              </w:rPr>
              <w:t>安装仓顶除尘器</w:t>
            </w:r>
            <w:r>
              <w:rPr>
                <w:rFonts w:hint="eastAsia"/>
                <w:bCs/>
                <w:color w:val="auto"/>
                <w:sz w:val="24"/>
                <w:lang w:val="en-US" w:eastAsia="zh-CN"/>
              </w:rPr>
              <w:t>方式处理</w:t>
            </w:r>
          </w:p>
        </w:tc>
        <w:tc>
          <w:tcPr>
            <w:tcW w:w="2981" w:type="dxa"/>
            <w:vMerge w:val="continue"/>
            <w:vAlign w:val="center"/>
          </w:tcPr>
          <w:p w14:paraId="12C4A250">
            <w:pPr>
              <w:widowControl/>
              <w:jc w:val="center"/>
              <w:rPr>
                <w:rFonts w:hint="eastAsia"/>
                <w:color w:val="auto"/>
                <w:sz w:val="24"/>
              </w:rPr>
            </w:pPr>
          </w:p>
        </w:tc>
      </w:tr>
      <w:tr w14:paraId="5715D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41" w:type="dxa"/>
            <w:vAlign w:val="center"/>
          </w:tcPr>
          <w:p w14:paraId="368DA79E">
            <w:pPr>
              <w:ind w:left="-118" w:leftChars="-56" w:right="-107" w:rightChars="-51"/>
              <w:jc w:val="center"/>
              <w:rPr>
                <w:color w:val="auto"/>
                <w:sz w:val="24"/>
              </w:rPr>
            </w:pPr>
            <w:r>
              <w:rPr>
                <w:color w:val="auto"/>
                <w:sz w:val="24"/>
              </w:rPr>
              <w:t>地表</w:t>
            </w:r>
          </w:p>
          <w:p w14:paraId="17E72CEC">
            <w:pPr>
              <w:ind w:left="-118" w:leftChars="-56" w:right="-107" w:rightChars="-51"/>
              <w:jc w:val="center"/>
              <w:rPr>
                <w:color w:val="auto"/>
                <w:sz w:val="24"/>
              </w:rPr>
            </w:pPr>
            <w:r>
              <w:rPr>
                <w:color w:val="auto"/>
                <w:sz w:val="24"/>
              </w:rPr>
              <w:t>水环境</w:t>
            </w:r>
          </w:p>
        </w:tc>
        <w:tc>
          <w:tcPr>
            <w:tcW w:w="1559" w:type="dxa"/>
            <w:vAlign w:val="center"/>
          </w:tcPr>
          <w:p w14:paraId="69C736C3">
            <w:pPr>
              <w:jc w:val="center"/>
              <w:rPr>
                <w:color w:val="auto"/>
                <w:sz w:val="24"/>
              </w:rPr>
            </w:pPr>
            <w:r>
              <w:rPr>
                <w:color w:val="auto"/>
                <w:sz w:val="24"/>
              </w:rPr>
              <w:t>生活污水</w:t>
            </w:r>
          </w:p>
          <w:p w14:paraId="1C93C883">
            <w:pPr>
              <w:pStyle w:val="2"/>
              <w:adjustRightInd/>
              <w:ind w:left="0" w:leftChars="0" w:right="-107" w:rightChars="-51"/>
              <w:jc w:val="both"/>
              <w:rPr>
                <w:rFonts w:ascii="Times New Roman" w:eastAsia="宋体" w:cs="Times New Roman"/>
                <w:color w:val="auto"/>
                <w:kern w:val="2"/>
              </w:rPr>
            </w:pPr>
          </w:p>
        </w:tc>
        <w:tc>
          <w:tcPr>
            <w:tcW w:w="1276" w:type="dxa"/>
            <w:vAlign w:val="center"/>
          </w:tcPr>
          <w:p w14:paraId="0016E857">
            <w:pPr>
              <w:jc w:val="center"/>
              <w:rPr>
                <w:color w:val="auto"/>
                <w:sz w:val="24"/>
              </w:rPr>
            </w:pPr>
            <w:r>
              <w:rPr>
                <w:color w:val="auto"/>
                <w:sz w:val="24"/>
              </w:rPr>
              <w:t>COD</w:t>
            </w:r>
          </w:p>
          <w:p w14:paraId="39B8744D">
            <w:pPr>
              <w:jc w:val="center"/>
              <w:rPr>
                <w:color w:val="auto"/>
                <w:sz w:val="24"/>
              </w:rPr>
            </w:pPr>
            <w:r>
              <w:rPr>
                <w:rFonts w:hint="eastAsia"/>
                <w:color w:val="auto"/>
                <w:sz w:val="24"/>
              </w:rPr>
              <w:t>BOD</w:t>
            </w:r>
            <w:r>
              <w:rPr>
                <w:color w:val="auto"/>
                <w:sz w:val="24"/>
                <w:vertAlign w:val="subscript"/>
              </w:rPr>
              <w:t>5</w:t>
            </w:r>
          </w:p>
          <w:p w14:paraId="5B9EC5E0">
            <w:pPr>
              <w:jc w:val="center"/>
              <w:rPr>
                <w:color w:val="auto"/>
                <w:sz w:val="24"/>
              </w:rPr>
            </w:pPr>
            <w:r>
              <w:rPr>
                <w:color w:val="auto"/>
                <w:sz w:val="24"/>
              </w:rPr>
              <w:t>SS</w:t>
            </w:r>
          </w:p>
          <w:p w14:paraId="23C6ACC6">
            <w:pPr>
              <w:jc w:val="center"/>
              <w:rPr>
                <w:color w:val="auto"/>
                <w:sz w:val="24"/>
              </w:rPr>
            </w:pPr>
            <w:r>
              <w:rPr>
                <w:color w:val="auto"/>
                <w:sz w:val="24"/>
              </w:rPr>
              <w:t>NH</w:t>
            </w:r>
            <w:r>
              <w:rPr>
                <w:color w:val="auto"/>
                <w:sz w:val="24"/>
                <w:vertAlign w:val="subscript"/>
              </w:rPr>
              <w:t>3</w:t>
            </w:r>
            <w:r>
              <w:rPr>
                <w:color w:val="auto"/>
                <w:sz w:val="24"/>
              </w:rPr>
              <w:t>-N</w:t>
            </w:r>
          </w:p>
          <w:p w14:paraId="5CF548F7">
            <w:pPr>
              <w:ind w:left="-107" w:leftChars="-51" w:right="-107" w:rightChars="-51"/>
              <w:jc w:val="center"/>
              <w:rPr>
                <w:color w:val="auto"/>
                <w:sz w:val="24"/>
              </w:rPr>
            </w:pPr>
          </w:p>
        </w:tc>
        <w:tc>
          <w:tcPr>
            <w:tcW w:w="3118" w:type="dxa"/>
            <w:vAlign w:val="center"/>
          </w:tcPr>
          <w:p w14:paraId="2123923A">
            <w:pPr>
              <w:jc w:val="center"/>
              <w:rPr>
                <w:bCs/>
                <w:color w:val="auto"/>
                <w:sz w:val="24"/>
              </w:rPr>
            </w:pPr>
            <w:r>
              <w:rPr>
                <w:rFonts w:hint="eastAsia"/>
                <w:color w:val="auto"/>
                <w:sz w:val="24"/>
              </w:rPr>
              <w:t>依托</w:t>
            </w:r>
            <w:r>
              <w:rPr>
                <w:rFonts w:hint="eastAsia"/>
                <w:color w:val="auto"/>
                <w:sz w:val="24"/>
                <w:lang w:val="en-US" w:eastAsia="zh-CN"/>
              </w:rPr>
              <w:t>厂区现有</w:t>
            </w:r>
            <w:r>
              <w:rPr>
                <w:rFonts w:hint="eastAsia"/>
                <w:color w:val="auto"/>
                <w:sz w:val="24"/>
              </w:rPr>
              <w:t>化粪池</w:t>
            </w:r>
          </w:p>
        </w:tc>
        <w:tc>
          <w:tcPr>
            <w:tcW w:w="2981" w:type="dxa"/>
            <w:vAlign w:val="center"/>
          </w:tcPr>
          <w:p w14:paraId="364E7B0E">
            <w:pPr>
              <w:ind w:left="-107" w:leftChars="-51" w:right="-103" w:rightChars="-49"/>
              <w:jc w:val="center"/>
              <w:rPr>
                <w:color w:val="auto"/>
                <w:sz w:val="24"/>
              </w:rPr>
            </w:pPr>
            <w:r>
              <w:rPr>
                <w:color w:val="auto"/>
                <w:sz w:val="24"/>
              </w:rPr>
              <w:t>满足</w:t>
            </w:r>
            <w:r>
              <w:rPr>
                <w:rFonts w:hint="eastAsia"/>
                <w:color w:val="auto"/>
                <w:kern w:val="0"/>
                <w:sz w:val="24"/>
              </w:rPr>
              <w:t>蚌埠市第二污水处理厂接管标准、《关于明确市区截污入网企业污水排放标准的通知》（蚌环字[2010]171号）和《污水综合排放标准》表4中三级排放标准要求</w:t>
            </w:r>
          </w:p>
        </w:tc>
      </w:tr>
      <w:tr w14:paraId="668AB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841" w:type="dxa"/>
            <w:vAlign w:val="center"/>
          </w:tcPr>
          <w:p w14:paraId="2136E010">
            <w:pPr>
              <w:adjustRightInd w:val="0"/>
              <w:snapToGrid w:val="0"/>
              <w:ind w:left="-118" w:leftChars="-56" w:right="-107" w:rightChars="-51"/>
              <w:jc w:val="center"/>
              <w:rPr>
                <w:color w:val="auto"/>
                <w:sz w:val="24"/>
              </w:rPr>
            </w:pPr>
            <w:r>
              <w:rPr>
                <w:color w:val="auto"/>
                <w:sz w:val="24"/>
              </w:rPr>
              <w:t>声环境</w:t>
            </w:r>
          </w:p>
        </w:tc>
        <w:tc>
          <w:tcPr>
            <w:tcW w:w="1559" w:type="dxa"/>
            <w:vAlign w:val="center"/>
          </w:tcPr>
          <w:p w14:paraId="463EDC0C">
            <w:pPr>
              <w:jc w:val="center"/>
              <w:rPr>
                <w:color w:val="auto"/>
                <w:sz w:val="24"/>
              </w:rPr>
            </w:pPr>
            <w:r>
              <w:rPr>
                <w:color w:val="auto"/>
                <w:sz w:val="24"/>
              </w:rPr>
              <w:t>设备</w:t>
            </w:r>
          </w:p>
          <w:p w14:paraId="0EF4E795">
            <w:pPr>
              <w:jc w:val="center"/>
              <w:rPr>
                <w:color w:val="auto"/>
                <w:sz w:val="24"/>
              </w:rPr>
            </w:pPr>
            <w:r>
              <w:rPr>
                <w:color w:val="auto"/>
                <w:sz w:val="24"/>
              </w:rPr>
              <w:t>噪声</w:t>
            </w:r>
          </w:p>
        </w:tc>
        <w:tc>
          <w:tcPr>
            <w:tcW w:w="1276" w:type="dxa"/>
            <w:vAlign w:val="center"/>
          </w:tcPr>
          <w:p w14:paraId="22A9910B">
            <w:pPr>
              <w:jc w:val="center"/>
              <w:rPr>
                <w:color w:val="auto"/>
                <w:sz w:val="24"/>
              </w:rPr>
            </w:pPr>
            <w:r>
              <w:rPr>
                <w:color w:val="auto"/>
                <w:sz w:val="24"/>
              </w:rPr>
              <w:t>噪声</w:t>
            </w:r>
          </w:p>
        </w:tc>
        <w:tc>
          <w:tcPr>
            <w:tcW w:w="3118" w:type="dxa"/>
            <w:vAlign w:val="center"/>
          </w:tcPr>
          <w:p w14:paraId="1BF08E95">
            <w:pPr>
              <w:jc w:val="center"/>
              <w:rPr>
                <w:color w:val="auto"/>
                <w:sz w:val="24"/>
              </w:rPr>
            </w:pPr>
            <w:r>
              <w:rPr>
                <w:color w:val="auto"/>
                <w:sz w:val="24"/>
              </w:rPr>
              <w:t>建筑隔声，设置基础减振、机座加隔振垫(圈)或设减振器</w:t>
            </w:r>
          </w:p>
        </w:tc>
        <w:tc>
          <w:tcPr>
            <w:tcW w:w="2981" w:type="dxa"/>
            <w:vAlign w:val="center"/>
          </w:tcPr>
          <w:p w14:paraId="5DB9D690">
            <w:pPr>
              <w:jc w:val="center"/>
              <w:rPr>
                <w:color w:val="auto"/>
                <w:sz w:val="24"/>
              </w:rPr>
            </w:pPr>
            <w:r>
              <w:rPr>
                <w:rFonts w:hint="eastAsia"/>
                <w:color w:val="auto"/>
                <w:sz w:val="24"/>
                <w:lang w:val="en-US" w:eastAsia="zh-CN"/>
              </w:rPr>
              <w:t>厂界</w:t>
            </w:r>
            <w:r>
              <w:rPr>
                <w:color w:val="auto"/>
                <w:sz w:val="24"/>
              </w:rPr>
              <w:t>噪声符合《工业企业厂界环境噪声排放标准》（GB12348—2008）标准中3类标准要求</w:t>
            </w:r>
          </w:p>
        </w:tc>
      </w:tr>
      <w:tr w14:paraId="7BDF7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1" w:type="dxa"/>
            <w:vAlign w:val="center"/>
          </w:tcPr>
          <w:p w14:paraId="06167DAD">
            <w:pPr>
              <w:adjustRightInd w:val="0"/>
              <w:snapToGrid w:val="0"/>
              <w:jc w:val="center"/>
              <w:rPr>
                <w:color w:val="auto"/>
                <w:sz w:val="24"/>
              </w:rPr>
            </w:pPr>
            <w:r>
              <w:rPr>
                <w:color w:val="auto"/>
                <w:sz w:val="24"/>
              </w:rPr>
              <w:t>电磁</w:t>
            </w:r>
          </w:p>
          <w:p w14:paraId="14B20B89">
            <w:pPr>
              <w:adjustRightInd w:val="0"/>
              <w:snapToGrid w:val="0"/>
              <w:jc w:val="center"/>
              <w:rPr>
                <w:color w:val="auto"/>
                <w:sz w:val="24"/>
              </w:rPr>
            </w:pPr>
            <w:r>
              <w:rPr>
                <w:color w:val="auto"/>
                <w:sz w:val="24"/>
              </w:rPr>
              <w:t>辐射</w:t>
            </w:r>
          </w:p>
        </w:tc>
        <w:tc>
          <w:tcPr>
            <w:tcW w:w="1559" w:type="dxa"/>
            <w:vAlign w:val="center"/>
          </w:tcPr>
          <w:p w14:paraId="17D03654">
            <w:pPr>
              <w:adjustRightInd w:val="0"/>
              <w:snapToGrid w:val="0"/>
              <w:jc w:val="center"/>
              <w:rPr>
                <w:color w:val="auto"/>
                <w:sz w:val="24"/>
              </w:rPr>
            </w:pPr>
            <w:r>
              <w:rPr>
                <w:color w:val="auto"/>
                <w:sz w:val="24"/>
              </w:rPr>
              <w:t>/</w:t>
            </w:r>
          </w:p>
        </w:tc>
        <w:tc>
          <w:tcPr>
            <w:tcW w:w="1276" w:type="dxa"/>
            <w:vAlign w:val="center"/>
          </w:tcPr>
          <w:p w14:paraId="2BD5621A">
            <w:pPr>
              <w:adjustRightInd w:val="0"/>
              <w:snapToGrid w:val="0"/>
              <w:jc w:val="center"/>
              <w:rPr>
                <w:color w:val="auto"/>
                <w:sz w:val="24"/>
              </w:rPr>
            </w:pPr>
            <w:r>
              <w:rPr>
                <w:color w:val="auto"/>
                <w:sz w:val="24"/>
              </w:rPr>
              <w:t>/</w:t>
            </w:r>
          </w:p>
        </w:tc>
        <w:tc>
          <w:tcPr>
            <w:tcW w:w="3118" w:type="dxa"/>
            <w:vAlign w:val="center"/>
          </w:tcPr>
          <w:p w14:paraId="0697151E">
            <w:pPr>
              <w:adjustRightInd w:val="0"/>
              <w:snapToGrid w:val="0"/>
              <w:jc w:val="center"/>
              <w:rPr>
                <w:color w:val="auto"/>
                <w:sz w:val="24"/>
              </w:rPr>
            </w:pPr>
            <w:r>
              <w:rPr>
                <w:color w:val="auto"/>
                <w:sz w:val="24"/>
              </w:rPr>
              <w:t>/</w:t>
            </w:r>
          </w:p>
        </w:tc>
        <w:tc>
          <w:tcPr>
            <w:tcW w:w="2981" w:type="dxa"/>
            <w:vAlign w:val="center"/>
          </w:tcPr>
          <w:p w14:paraId="6776D94C">
            <w:pPr>
              <w:adjustRightInd w:val="0"/>
              <w:snapToGrid w:val="0"/>
              <w:jc w:val="center"/>
              <w:rPr>
                <w:color w:val="auto"/>
                <w:sz w:val="24"/>
              </w:rPr>
            </w:pPr>
            <w:r>
              <w:rPr>
                <w:color w:val="auto"/>
                <w:sz w:val="24"/>
              </w:rPr>
              <w:t>/</w:t>
            </w:r>
          </w:p>
        </w:tc>
      </w:tr>
      <w:tr w14:paraId="5F82F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41" w:type="dxa"/>
            <w:vAlign w:val="center"/>
          </w:tcPr>
          <w:p w14:paraId="4D8AED68">
            <w:pPr>
              <w:adjustRightInd w:val="0"/>
              <w:snapToGrid w:val="0"/>
              <w:jc w:val="center"/>
              <w:rPr>
                <w:color w:val="auto"/>
                <w:sz w:val="24"/>
              </w:rPr>
            </w:pPr>
            <w:r>
              <w:rPr>
                <w:color w:val="auto"/>
                <w:sz w:val="24"/>
              </w:rPr>
              <w:t>固体</w:t>
            </w:r>
          </w:p>
          <w:p w14:paraId="3163813A">
            <w:pPr>
              <w:adjustRightInd w:val="0"/>
              <w:snapToGrid w:val="0"/>
              <w:jc w:val="center"/>
              <w:rPr>
                <w:color w:val="auto"/>
                <w:sz w:val="24"/>
              </w:rPr>
            </w:pPr>
            <w:r>
              <w:rPr>
                <w:color w:val="auto"/>
                <w:sz w:val="24"/>
              </w:rPr>
              <w:t>废物</w:t>
            </w:r>
          </w:p>
        </w:tc>
        <w:tc>
          <w:tcPr>
            <w:tcW w:w="8934" w:type="dxa"/>
            <w:gridSpan w:val="4"/>
            <w:vAlign w:val="center"/>
          </w:tcPr>
          <w:p w14:paraId="157BBCE1">
            <w:pPr>
              <w:ind w:firstLine="480" w:firstLineChars="200"/>
              <w:rPr>
                <w:color w:val="auto"/>
                <w:sz w:val="24"/>
              </w:rPr>
            </w:pPr>
            <w:r>
              <w:rPr>
                <w:color w:val="auto"/>
                <w:sz w:val="24"/>
              </w:rPr>
              <w:t>本</w:t>
            </w:r>
            <w:r>
              <w:rPr>
                <w:rFonts w:hint="eastAsia"/>
                <w:color w:val="auto"/>
                <w:sz w:val="24"/>
              </w:rPr>
              <w:t>项目产生的各类固体废物均分类收集，危险废物（废机油、废机油桶）暂存于危废暂存间，生活垃圾贮存于厂内垃圾桶，由环卫部门定期清运，各类废弃物不混放。</w:t>
            </w:r>
          </w:p>
        </w:tc>
      </w:tr>
      <w:tr w14:paraId="27F63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41" w:type="dxa"/>
            <w:vAlign w:val="center"/>
          </w:tcPr>
          <w:p w14:paraId="2813750A">
            <w:pPr>
              <w:adjustRightInd w:val="0"/>
              <w:snapToGrid w:val="0"/>
              <w:ind w:left="-118" w:leftChars="-56" w:right="-107" w:rightChars="-51"/>
              <w:jc w:val="center"/>
              <w:rPr>
                <w:color w:val="auto"/>
                <w:sz w:val="24"/>
              </w:rPr>
            </w:pPr>
            <w:r>
              <w:rPr>
                <w:color w:val="auto"/>
                <w:sz w:val="24"/>
              </w:rPr>
              <w:t>土壤及地下水污染防治措施</w:t>
            </w:r>
          </w:p>
        </w:tc>
        <w:tc>
          <w:tcPr>
            <w:tcW w:w="8934" w:type="dxa"/>
            <w:gridSpan w:val="4"/>
            <w:vAlign w:val="center"/>
          </w:tcPr>
          <w:p w14:paraId="7A6F91A2">
            <w:pPr>
              <w:adjustRightInd w:val="0"/>
              <w:snapToGrid w:val="0"/>
              <w:jc w:val="center"/>
              <w:rPr>
                <w:color w:val="auto"/>
                <w:sz w:val="24"/>
              </w:rPr>
            </w:pPr>
            <w:r>
              <w:rPr>
                <w:color w:val="auto"/>
                <w:sz w:val="24"/>
              </w:rPr>
              <w:t>分区防渗等</w:t>
            </w:r>
          </w:p>
        </w:tc>
      </w:tr>
      <w:tr w14:paraId="42B29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41" w:type="dxa"/>
            <w:vAlign w:val="center"/>
          </w:tcPr>
          <w:p w14:paraId="7A23B7A6">
            <w:pPr>
              <w:adjustRightInd w:val="0"/>
              <w:snapToGrid w:val="0"/>
              <w:ind w:left="-118" w:leftChars="-56" w:right="-107" w:rightChars="-51"/>
              <w:jc w:val="center"/>
              <w:rPr>
                <w:color w:val="auto"/>
                <w:sz w:val="24"/>
              </w:rPr>
            </w:pPr>
            <w:r>
              <w:rPr>
                <w:color w:val="auto"/>
                <w:sz w:val="24"/>
              </w:rPr>
              <w:t>生态保护措施</w:t>
            </w:r>
          </w:p>
        </w:tc>
        <w:tc>
          <w:tcPr>
            <w:tcW w:w="8934" w:type="dxa"/>
            <w:gridSpan w:val="4"/>
            <w:vAlign w:val="center"/>
          </w:tcPr>
          <w:p w14:paraId="387DBE64">
            <w:pPr>
              <w:adjustRightInd w:val="0"/>
              <w:snapToGrid w:val="0"/>
              <w:jc w:val="center"/>
              <w:rPr>
                <w:color w:val="auto"/>
                <w:sz w:val="24"/>
              </w:rPr>
            </w:pPr>
            <w:r>
              <w:rPr>
                <w:color w:val="auto"/>
                <w:sz w:val="24"/>
              </w:rPr>
              <w:t>不涉及</w:t>
            </w:r>
          </w:p>
        </w:tc>
      </w:tr>
      <w:tr w14:paraId="242D76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4" w:hRule="atLeast"/>
          <w:jc w:val="center"/>
        </w:trPr>
        <w:tc>
          <w:tcPr>
            <w:tcW w:w="841" w:type="dxa"/>
            <w:vAlign w:val="center"/>
          </w:tcPr>
          <w:p w14:paraId="35C216DE">
            <w:pPr>
              <w:adjustRightInd w:val="0"/>
              <w:snapToGrid w:val="0"/>
              <w:ind w:left="-118" w:leftChars="-56" w:right="-107" w:rightChars="-51"/>
              <w:jc w:val="center"/>
              <w:rPr>
                <w:color w:val="auto"/>
                <w:spacing w:val="-8"/>
                <w:sz w:val="24"/>
              </w:rPr>
            </w:pPr>
            <w:r>
              <w:rPr>
                <w:color w:val="auto"/>
                <w:spacing w:val="-8"/>
                <w:sz w:val="24"/>
              </w:rPr>
              <w:t>环境风险防范措施</w:t>
            </w:r>
          </w:p>
        </w:tc>
        <w:tc>
          <w:tcPr>
            <w:tcW w:w="8934" w:type="dxa"/>
            <w:gridSpan w:val="4"/>
            <w:vAlign w:val="center"/>
          </w:tcPr>
          <w:p w14:paraId="25B6F29B">
            <w:pPr>
              <w:jc w:val="left"/>
              <w:rPr>
                <w:color w:val="auto"/>
                <w:sz w:val="24"/>
                <w:highlight w:val="none"/>
              </w:rPr>
            </w:pPr>
            <w:r>
              <w:rPr>
                <w:rFonts w:hint="eastAsia"/>
                <w:color w:val="auto"/>
                <w:sz w:val="24"/>
                <w:highlight w:val="none"/>
              </w:rPr>
              <w:t>（1）风险物质贮存过程中应加强管理工作</w:t>
            </w:r>
          </w:p>
          <w:p w14:paraId="2ECE5E6D">
            <w:pPr>
              <w:jc w:val="left"/>
              <w:rPr>
                <w:color w:val="auto"/>
                <w:sz w:val="24"/>
                <w:highlight w:val="none"/>
              </w:rPr>
            </w:pPr>
            <w:r>
              <w:rPr>
                <w:rFonts w:hint="eastAsia"/>
                <w:color w:val="auto"/>
                <w:sz w:val="24"/>
                <w:highlight w:val="none"/>
              </w:rPr>
              <w:t>①采用优质包装材料；</w:t>
            </w:r>
          </w:p>
          <w:p w14:paraId="43A9EAA6">
            <w:pPr>
              <w:jc w:val="left"/>
              <w:rPr>
                <w:color w:val="auto"/>
                <w:sz w:val="24"/>
                <w:highlight w:val="none"/>
              </w:rPr>
            </w:pPr>
            <w:r>
              <w:rPr>
                <w:rFonts w:hint="eastAsia"/>
                <w:color w:val="auto"/>
                <w:sz w:val="24"/>
                <w:highlight w:val="none"/>
              </w:rPr>
              <w:t>②加强风险物质的管理，建立出入库台账；</w:t>
            </w:r>
          </w:p>
          <w:p w14:paraId="32D78FD2">
            <w:pPr>
              <w:jc w:val="left"/>
              <w:rPr>
                <w:color w:val="auto"/>
                <w:sz w:val="24"/>
                <w:highlight w:val="none"/>
              </w:rPr>
            </w:pPr>
            <w:r>
              <w:rPr>
                <w:rFonts w:hint="eastAsia"/>
                <w:color w:val="auto"/>
                <w:sz w:val="24"/>
                <w:highlight w:val="none"/>
              </w:rPr>
              <w:t>③管理人员应了解贮存物质的性质，将可能发生反应的物料分区分类存放；</w:t>
            </w:r>
          </w:p>
          <w:p w14:paraId="56D5C88F">
            <w:pPr>
              <w:jc w:val="left"/>
              <w:rPr>
                <w:color w:val="auto"/>
                <w:sz w:val="24"/>
                <w:highlight w:val="none"/>
              </w:rPr>
            </w:pPr>
            <w:r>
              <w:rPr>
                <w:rFonts w:hint="eastAsia"/>
                <w:color w:val="auto"/>
                <w:sz w:val="24"/>
                <w:highlight w:val="none"/>
              </w:rPr>
              <w:t>④加强定期巡查监管力度，定期检查贮存物质包装是否泄露；</w:t>
            </w:r>
          </w:p>
          <w:p w14:paraId="220E7574">
            <w:pPr>
              <w:jc w:val="left"/>
              <w:rPr>
                <w:color w:val="auto"/>
                <w:sz w:val="24"/>
                <w:highlight w:val="none"/>
              </w:rPr>
            </w:pPr>
            <w:r>
              <w:rPr>
                <w:rFonts w:hint="eastAsia"/>
                <w:color w:val="auto"/>
                <w:sz w:val="24"/>
                <w:highlight w:val="none"/>
              </w:rPr>
              <w:t>⑤加强运输过程中的规范化设置，防治运输过程中发生磕碰导致泄露。</w:t>
            </w:r>
          </w:p>
          <w:p w14:paraId="36F6360D">
            <w:pPr>
              <w:jc w:val="left"/>
              <w:rPr>
                <w:color w:val="auto"/>
                <w:sz w:val="24"/>
                <w:highlight w:val="none"/>
              </w:rPr>
            </w:pPr>
            <w:r>
              <w:rPr>
                <w:rFonts w:hint="eastAsia"/>
                <w:color w:val="auto"/>
                <w:sz w:val="24"/>
                <w:highlight w:val="none"/>
              </w:rPr>
              <w:t>⑥加强车间的日常管理及工人的安全教育，车间配备灭火器，设置禁火标志及防静电措施。</w:t>
            </w:r>
          </w:p>
          <w:p w14:paraId="0FD54186">
            <w:pPr>
              <w:jc w:val="left"/>
              <w:rPr>
                <w:color w:val="auto"/>
                <w:sz w:val="24"/>
                <w:highlight w:val="none"/>
              </w:rPr>
            </w:pPr>
            <w:r>
              <w:rPr>
                <w:rFonts w:hint="eastAsia"/>
                <w:color w:val="auto"/>
                <w:sz w:val="24"/>
                <w:highlight w:val="none"/>
              </w:rPr>
              <w:t>⑦危废库进行重点防渗。存放液体原料均设有托盘(托盘容积0.2m</w:t>
            </w:r>
            <w:r>
              <w:rPr>
                <w:rFonts w:hint="eastAsia"/>
                <w:color w:val="auto"/>
                <w:sz w:val="24"/>
                <w:highlight w:val="none"/>
                <w:vertAlign w:val="superscript"/>
              </w:rPr>
              <w:t>3</w:t>
            </w:r>
            <w:r>
              <w:rPr>
                <w:rFonts w:hint="eastAsia"/>
                <w:color w:val="auto"/>
                <w:sz w:val="24"/>
                <w:highlight w:val="none"/>
              </w:rPr>
              <w:t>)。</w:t>
            </w:r>
          </w:p>
          <w:p w14:paraId="64CDB142">
            <w:pPr>
              <w:jc w:val="left"/>
              <w:rPr>
                <w:color w:val="auto"/>
                <w:sz w:val="24"/>
                <w:highlight w:val="none"/>
              </w:rPr>
            </w:pPr>
            <w:r>
              <w:rPr>
                <w:rFonts w:hint="eastAsia"/>
                <w:color w:val="auto"/>
                <w:sz w:val="24"/>
                <w:highlight w:val="none"/>
              </w:rPr>
              <w:t>（2）若现场发生泄漏，应及时进行覆盖、吸收，使泄漏物得到安全可靠的处置，防止二次事故的发生，按环保的要求处理泄漏的风险物质。</w:t>
            </w:r>
          </w:p>
          <w:p w14:paraId="186723EF">
            <w:pPr>
              <w:jc w:val="left"/>
              <w:rPr>
                <w:color w:val="auto"/>
                <w:sz w:val="24"/>
                <w:highlight w:val="none"/>
              </w:rPr>
            </w:pPr>
            <w:r>
              <w:rPr>
                <w:rFonts w:hint="eastAsia"/>
                <w:color w:val="auto"/>
                <w:sz w:val="24"/>
                <w:highlight w:val="none"/>
              </w:rPr>
              <w:t>（3）应急资源要重点做好堵漏工具和泄漏物料处理工具的配备及维修保护，个人应急防护及应急通信设备的维护，堵漏工具应包括粘贴式堵漏工具、阀门堵漏套具等。</w:t>
            </w:r>
          </w:p>
          <w:p w14:paraId="0FDE77B1">
            <w:pPr>
              <w:ind w:firstLine="0" w:firstLineChars="0"/>
              <w:rPr>
                <w:color w:val="auto"/>
                <w:sz w:val="24"/>
              </w:rPr>
            </w:pPr>
            <w:r>
              <w:rPr>
                <w:rFonts w:hint="eastAsia"/>
                <w:color w:val="auto"/>
                <w:sz w:val="24"/>
                <w:highlight w:val="none"/>
              </w:rPr>
              <w:t>（4）建设单位应设置应急救援队伍，应急救援队伍各人员要定岗定位，各岗位人员还必须有备份，出现事故时依次序上岗，保证事故发生后，能有人及时启动应急救援，防止恶性事故发生后无人操作。</w:t>
            </w:r>
          </w:p>
        </w:tc>
      </w:tr>
      <w:tr w14:paraId="54EFA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841" w:type="dxa"/>
            <w:vAlign w:val="center"/>
          </w:tcPr>
          <w:p w14:paraId="409E062E">
            <w:pPr>
              <w:adjustRightInd w:val="0"/>
              <w:snapToGrid w:val="0"/>
              <w:ind w:left="-118" w:leftChars="-56" w:right="-107" w:rightChars="-51"/>
              <w:jc w:val="center"/>
              <w:rPr>
                <w:color w:val="auto"/>
                <w:spacing w:val="-8"/>
                <w:sz w:val="24"/>
              </w:rPr>
            </w:pPr>
            <w:r>
              <w:rPr>
                <w:color w:val="auto"/>
                <w:spacing w:val="-8"/>
                <w:sz w:val="24"/>
              </w:rPr>
              <w:t>其他环境管理要求</w:t>
            </w:r>
          </w:p>
        </w:tc>
        <w:tc>
          <w:tcPr>
            <w:tcW w:w="8934" w:type="dxa"/>
            <w:gridSpan w:val="4"/>
            <w:vAlign w:val="center"/>
          </w:tcPr>
          <w:p w14:paraId="6A482B19">
            <w:pPr>
              <w:ind w:firstLine="420" w:firstLineChars="200"/>
              <w:rPr>
                <w:color w:val="auto"/>
              </w:rPr>
            </w:pPr>
          </w:p>
          <w:p w14:paraId="30B450E0">
            <w:pPr>
              <w:ind w:firstLine="420" w:firstLineChars="200"/>
              <w:rPr>
                <w:color w:val="auto"/>
              </w:rPr>
            </w:pPr>
          </w:p>
          <w:p w14:paraId="0FBA7E2A">
            <w:pPr>
              <w:ind w:firstLine="420" w:firstLineChars="200"/>
              <w:rPr>
                <w:color w:val="auto"/>
              </w:rPr>
            </w:pPr>
          </w:p>
          <w:p w14:paraId="17F6F170">
            <w:pPr>
              <w:ind w:firstLine="420" w:firstLineChars="200"/>
              <w:rPr>
                <w:color w:val="auto"/>
              </w:rPr>
            </w:pPr>
          </w:p>
          <w:p w14:paraId="29C024DA">
            <w:pPr>
              <w:ind w:firstLine="0" w:firstLineChars="0"/>
              <w:jc w:val="left"/>
              <w:rPr>
                <w:rFonts w:hint="eastAsia"/>
                <w:color w:val="auto"/>
                <w:sz w:val="24"/>
              </w:rPr>
            </w:pPr>
          </w:p>
          <w:p w14:paraId="69271128">
            <w:pPr>
              <w:ind w:firstLine="0" w:firstLineChars="0"/>
              <w:jc w:val="left"/>
              <w:rPr>
                <w:rFonts w:hint="eastAsia"/>
                <w:color w:val="auto"/>
                <w:sz w:val="24"/>
              </w:rPr>
            </w:pPr>
          </w:p>
          <w:p w14:paraId="51AA1160">
            <w:pPr>
              <w:ind w:firstLine="0" w:firstLineChars="0"/>
              <w:jc w:val="left"/>
              <w:rPr>
                <w:rFonts w:hint="eastAsia"/>
                <w:color w:val="auto"/>
                <w:sz w:val="24"/>
              </w:rPr>
            </w:pPr>
          </w:p>
          <w:p w14:paraId="03DFEC31">
            <w:pPr>
              <w:ind w:firstLine="0" w:firstLineChars="0"/>
              <w:jc w:val="left"/>
              <w:rPr>
                <w:rFonts w:hint="eastAsia"/>
                <w:color w:val="auto"/>
                <w:sz w:val="24"/>
              </w:rPr>
            </w:pPr>
          </w:p>
          <w:p w14:paraId="01536C20">
            <w:pPr>
              <w:ind w:firstLine="480" w:firstLineChars="200"/>
              <w:jc w:val="left"/>
              <w:rPr>
                <w:rFonts w:hint="eastAsia"/>
                <w:color w:val="auto"/>
                <w:sz w:val="24"/>
                <w:lang w:eastAsia="zh-CN"/>
              </w:rPr>
            </w:pPr>
            <w:r>
              <w:rPr>
                <w:rFonts w:hint="eastAsia"/>
                <w:color w:val="auto"/>
                <w:sz w:val="24"/>
              </w:rPr>
              <w:t>排污口规范化设置；建立环境管理机构，进行日常环境管理与例行环境监测，对所排放的污染物组织开展自行监测及信息公开，按要求进行排污许可工作等</w:t>
            </w:r>
            <w:r>
              <w:rPr>
                <w:rFonts w:hint="eastAsia"/>
                <w:color w:val="auto"/>
                <w:sz w:val="24"/>
                <w:lang w:eastAsia="zh-CN"/>
              </w:rPr>
              <w:t>。</w:t>
            </w:r>
          </w:p>
          <w:p w14:paraId="6A3055DA">
            <w:pPr>
              <w:jc w:val="left"/>
              <w:rPr>
                <w:rFonts w:hint="eastAsia"/>
                <w:color w:val="auto"/>
                <w:sz w:val="24"/>
                <w:lang w:eastAsia="zh-CN"/>
              </w:rPr>
            </w:pPr>
          </w:p>
          <w:p w14:paraId="526F1DB6">
            <w:pPr>
              <w:rPr>
                <w:rFonts w:hint="eastAsia"/>
                <w:color w:val="auto"/>
                <w:lang w:eastAsia="zh-CN"/>
              </w:rPr>
            </w:pPr>
          </w:p>
          <w:p w14:paraId="4348AFC4">
            <w:pPr>
              <w:pStyle w:val="5"/>
              <w:rPr>
                <w:rFonts w:hint="eastAsia"/>
                <w:color w:val="auto"/>
                <w:lang w:eastAsia="zh-CN"/>
              </w:rPr>
            </w:pPr>
          </w:p>
          <w:p w14:paraId="2D1FFEBB">
            <w:pPr>
              <w:rPr>
                <w:rFonts w:hint="eastAsia"/>
                <w:color w:val="auto"/>
                <w:lang w:eastAsia="zh-CN"/>
              </w:rPr>
            </w:pPr>
          </w:p>
        </w:tc>
      </w:tr>
    </w:tbl>
    <w:p w14:paraId="09A2D0BD">
      <w:pPr>
        <w:widowControl/>
        <w:ind w:left="-424" w:leftChars="-202"/>
        <w:jc w:val="center"/>
        <w:outlineLvl w:val="0"/>
        <w:rPr>
          <w:rFonts w:ascii="黑体" w:hAnsi="黑体" w:eastAsia="黑体"/>
          <w:snapToGrid w:val="0"/>
          <w:color w:val="auto"/>
          <w:kern w:val="0"/>
          <w:sz w:val="30"/>
          <w:szCs w:val="30"/>
        </w:rPr>
      </w:pPr>
      <w:r>
        <w:rPr>
          <w:rFonts w:ascii="宋体" w:hAnsi="宋体"/>
          <w:snapToGrid w:val="0"/>
          <w:color w:val="auto"/>
          <w:kern w:val="0"/>
          <w:sz w:val="24"/>
          <w:szCs w:val="20"/>
        </w:rPr>
        <w:br w:type="page"/>
      </w:r>
      <w:r>
        <w:rPr>
          <w:rFonts w:hint="eastAsia" w:ascii="黑体" w:hAnsi="黑体" w:eastAsia="黑体"/>
          <w:snapToGrid w:val="0"/>
          <w:color w:val="auto"/>
          <w:kern w:val="0"/>
          <w:sz w:val="30"/>
          <w:szCs w:val="30"/>
        </w:rPr>
        <w:t>六、结论</w:t>
      </w:r>
    </w:p>
    <w:tbl>
      <w:tblPr>
        <w:tblStyle w:val="26"/>
        <w:tblW w:w="97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69708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884" w:hRule="atLeast"/>
          <w:jc w:val="center"/>
        </w:trPr>
        <w:tc>
          <w:tcPr>
            <w:tcW w:w="8865" w:type="dxa"/>
            <w:vAlign w:val="center"/>
          </w:tcPr>
          <w:p w14:paraId="3A1CA18A">
            <w:pPr>
              <w:spacing w:line="500" w:lineRule="exact"/>
              <w:ind w:firstLine="480" w:firstLineChars="200"/>
              <w:rPr>
                <w:color w:val="auto"/>
                <w:sz w:val="24"/>
              </w:rPr>
            </w:pPr>
            <w:r>
              <w:rPr>
                <w:color w:val="auto"/>
                <w:sz w:val="24"/>
              </w:rPr>
              <w:t>综上所述，</w:t>
            </w:r>
            <w:r>
              <w:rPr>
                <w:rFonts w:hint="eastAsia"/>
                <w:color w:val="auto"/>
                <w:sz w:val="24"/>
                <w:lang w:eastAsia="zh-CN"/>
              </w:rPr>
              <w:t>安徽中江材料科技有限公司年产5000吨化妆品级抗紫外线球形复合功能填料生产线项目</w:t>
            </w:r>
            <w:r>
              <w:rPr>
                <w:color w:val="auto"/>
                <w:sz w:val="24"/>
              </w:rPr>
              <w:t>符合国家及地方产业政策，选址符合城市土地利用规划要求。项目实施后在采用各项污染防治措施的前提条件下，各项污染物能够做到达标排放；污染物排放量符合总量控制要求；本项目的实施不会降低区域环境空气质量、水环境质量及声环境质量标准；落实风险防范及应急措施后风险水平在可接受范围内。该项目在建设过程中，应严格执行环保设施与主体工程同时设计、同时施工、同时投产的“三同时”制度。从</w:t>
            </w:r>
            <w:r>
              <w:rPr>
                <w:rFonts w:hint="eastAsia"/>
                <w:color w:val="auto"/>
                <w:sz w:val="24"/>
              </w:rPr>
              <w:t>环境</w:t>
            </w:r>
            <w:r>
              <w:rPr>
                <w:rFonts w:hint="eastAsia"/>
                <w:color w:val="auto"/>
                <w:sz w:val="24"/>
                <w:lang w:val="en-US" w:eastAsia="zh-CN"/>
              </w:rPr>
              <w:t>保护</w:t>
            </w:r>
            <w:r>
              <w:rPr>
                <w:color w:val="auto"/>
                <w:sz w:val="24"/>
              </w:rPr>
              <w:t>角度出发，该项目的建设是可行的。</w:t>
            </w:r>
          </w:p>
        </w:tc>
      </w:tr>
    </w:tbl>
    <w:p w14:paraId="1D205B97">
      <w:pPr>
        <w:rPr>
          <w:rFonts w:ascii="宋体"/>
          <w:color w:val="auto"/>
        </w:rPr>
        <w:sectPr>
          <w:pgSz w:w="11906" w:h="16838"/>
          <w:pgMar w:top="1701" w:right="1531" w:bottom="1701" w:left="1531" w:header="851" w:footer="851" w:gutter="0"/>
          <w:cols w:space="720" w:num="1"/>
          <w:docGrid w:linePitch="312" w:charSpace="0"/>
        </w:sectPr>
      </w:pPr>
    </w:p>
    <w:p w14:paraId="384D2557">
      <w:pPr>
        <w:widowControl/>
        <w:adjustRightInd w:val="0"/>
        <w:snapToGrid w:val="0"/>
        <w:spacing w:line="360" w:lineRule="auto"/>
        <w:jc w:val="left"/>
        <w:outlineLvl w:val="0"/>
        <w:rPr>
          <w:rFonts w:ascii="黑体" w:hAnsi="黑体" w:eastAsia="黑体"/>
          <w:snapToGrid w:val="0"/>
          <w:color w:val="auto"/>
          <w:kern w:val="0"/>
          <w:sz w:val="32"/>
          <w:szCs w:val="32"/>
        </w:rPr>
      </w:pPr>
      <w:r>
        <w:rPr>
          <w:rFonts w:hint="eastAsia" w:ascii="黑体" w:hAnsi="黑体" w:eastAsia="黑体"/>
          <w:snapToGrid w:val="0"/>
          <w:color w:val="auto"/>
          <w:kern w:val="0"/>
          <w:sz w:val="32"/>
          <w:szCs w:val="32"/>
        </w:rPr>
        <w:t>附表</w:t>
      </w:r>
    </w:p>
    <w:p w14:paraId="671EB84D">
      <w:pPr>
        <w:widowControl/>
        <w:adjustRightInd w:val="0"/>
        <w:snapToGrid w:val="0"/>
        <w:jc w:val="center"/>
        <w:outlineLvl w:val="0"/>
        <w:rPr>
          <w:rFonts w:ascii="宋体" w:hAnsi="宋体"/>
          <w:snapToGrid w:val="0"/>
          <w:color w:val="auto"/>
          <w:kern w:val="0"/>
          <w:sz w:val="38"/>
          <w:szCs w:val="38"/>
        </w:rPr>
      </w:pPr>
      <w:r>
        <w:rPr>
          <w:rFonts w:hint="eastAsia" w:ascii="宋体" w:hAnsi="宋体"/>
          <w:snapToGrid w:val="0"/>
          <w:color w:val="auto"/>
          <w:kern w:val="0"/>
          <w:sz w:val="38"/>
          <w:szCs w:val="38"/>
        </w:rPr>
        <w:t>建设项目污染物排放量汇总表</w:t>
      </w:r>
    </w:p>
    <w:p w14:paraId="4085340F">
      <w:pPr>
        <w:widowControl/>
        <w:adjustRightInd w:val="0"/>
        <w:snapToGrid w:val="0"/>
        <w:jc w:val="center"/>
        <w:outlineLvl w:val="0"/>
        <w:rPr>
          <w:rFonts w:hint="eastAsia" w:ascii="宋体" w:hAnsi="宋体"/>
          <w:snapToGrid w:val="0"/>
          <w:color w:val="auto"/>
          <w:kern w:val="0"/>
          <w:sz w:val="18"/>
          <w:szCs w:val="18"/>
        </w:rPr>
      </w:pPr>
      <w:r>
        <w:rPr>
          <w:rFonts w:hint="eastAsia" w:ascii="宋体" w:hAnsi="宋体"/>
          <w:snapToGrid w:val="0"/>
          <w:color w:val="auto"/>
          <w:kern w:val="0"/>
          <w:sz w:val="38"/>
          <w:szCs w:val="38"/>
        </w:rPr>
        <w:t xml:space="preserve"> </w:t>
      </w:r>
      <w:r>
        <w:rPr>
          <w:rFonts w:ascii="宋体" w:hAnsi="宋体"/>
          <w:snapToGrid w:val="0"/>
          <w:color w:val="auto"/>
          <w:kern w:val="0"/>
          <w:sz w:val="38"/>
          <w:szCs w:val="38"/>
        </w:rPr>
        <w:t xml:space="preserve">                                      </w:t>
      </w:r>
      <w:r>
        <w:rPr>
          <w:rFonts w:hint="eastAsia" w:ascii="宋体" w:hAnsi="宋体"/>
          <w:snapToGrid w:val="0"/>
          <w:color w:val="auto"/>
          <w:kern w:val="0"/>
          <w:sz w:val="18"/>
          <w:szCs w:val="18"/>
        </w:rPr>
        <w:t>单位：t/a</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653"/>
        <w:gridCol w:w="997"/>
        <w:gridCol w:w="1454"/>
        <w:gridCol w:w="1238"/>
        <w:gridCol w:w="1661"/>
        <w:gridCol w:w="1517"/>
        <w:gridCol w:w="1722"/>
        <w:gridCol w:w="1603"/>
        <w:gridCol w:w="1442"/>
      </w:tblGrid>
      <w:tr w14:paraId="6B7A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tcBorders>
              <w:tl2br w:val="single" w:color="auto" w:sz="4" w:space="0"/>
            </w:tcBorders>
            <w:tcMar>
              <w:left w:w="28" w:type="dxa"/>
              <w:right w:w="28" w:type="dxa"/>
            </w:tcMar>
            <w:vAlign w:val="center"/>
          </w:tcPr>
          <w:p w14:paraId="697B0CD5">
            <w:pPr>
              <w:adjustRightInd w:val="0"/>
              <w:snapToGrid w:val="0"/>
              <w:jc w:val="right"/>
              <w:rPr>
                <w:rFonts w:eastAsia="黑体"/>
                <w:snapToGrid w:val="0"/>
                <w:color w:val="auto"/>
                <w:spacing w:val="-6"/>
                <w:kern w:val="21"/>
                <w:szCs w:val="21"/>
              </w:rPr>
            </w:pPr>
            <w:r>
              <w:rPr>
                <w:rFonts w:eastAsia="黑体"/>
                <w:snapToGrid w:val="0"/>
                <w:color w:val="auto"/>
                <w:spacing w:val="-6"/>
                <w:kern w:val="21"/>
                <w:szCs w:val="21"/>
              </w:rPr>
              <w:t>项目</w:t>
            </w:r>
          </w:p>
          <w:p w14:paraId="7AF531AB">
            <w:pPr>
              <w:adjustRightInd w:val="0"/>
              <w:snapToGrid w:val="0"/>
              <w:jc w:val="left"/>
              <w:rPr>
                <w:rFonts w:eastAsia="黑体"/>
                <w:snapToGrid w:val="0"/>
                <w:color w:val="auto"/>
                <w:spacing w:val="-6"/>
                <w:kern w:val="21"/>
                <w:szCs w:val="21"/>
              </w:rPr>
            </w:pPr>
            <w:r>
              <w:rPr>
                <w:rFonts w:eastAsia="黑体"/>
                <w:snapToGrid w:val="0"/>
                <w:color w:val="auto"/>
                <w:spacing w:val="-6"/>
                <w:kern w:val="21"/>
                <w:szCs w:val="21"/>
              </w:rPr>
              <w:t>分类</w:t>
            </w:r>
          </w:p>
        </w:tc>
        <w:tc>
          <w:tcPr>
            <w:tcW w:w="596" w:type="pct"/>
            <w:gridSpan w:val="2"/>
            <w:tcMar>
              <w:left w:w="28" w:type="dxa"/>
              <w:right w:w="28" w:type="dxa"/>
            </w:tcMar>
            <w:vAlign w:val="center"/>
          </w:tcPr>
          <w:p w14:paraId="7EC36C1E">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污染物名称</w:t>
            </w:r>
          </w:p>
        </w:tc>
        <w:tc>
          <w:tcPr>
            <w:tcW w:w="525" w:type="pct"/>
            <w:tcMar>
              <w:left w:w="28" w:type="dxa"/>
              <w:right w:w="28" w:type="dxa"/>
            </w:tcMar>
            <w:vAlign w:val="center"/>
          </w:tcPr>
          <w:p w14:paraId="076B62FF">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现有工程</w:t>
            </w:r>
          </w:p>
          <w:p w14:paraId="5E48BFBE">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排放量（固体废物产生量）</w:t>
            </w:r>
            <w:r>
              <w:rPr>
                <w:rFonts w:eastAsia="黑体"/>
                <w:snapToGrid w:val="0"/>
                <w:color w:val="auto"/>
                <w:spacing w:val="-6"/>
                <w:kern w:val="21"/>
                <w:szCs w:val="21"/>
              </w:rPr>
              <w:fldChar w:fldCharType="begin"/>
            </w:r>
            <w:r>
              <w:rPr>
                <w:rFonts w:eastAsia="黑体"/>
                <w:snapToGrid w:val="0"/>
                <w:color w:val="auto"/>
                <w:spacing w:val="-6"/>
                <w:kern w:val="21"/>
                <w:szCs w:val="21"/>
              </w:rPr>
              <w:instrText xml:space="preserve"> = 1 \* GB3 \* MERGEFORMAT </w:instrText>
            </w:r>
            <w:r>
              <w:rPr>
                <w:rFonts w:eastAsia="黑体"/>
                <w:snapToGrid w:val="0"/>
                <w:color w:val="auto"/>
                <w:spacing w:val="-6"/>
                <w:kern w:val="21"/>
                <w:szCs w:val="21"/>
              </w:rPr>
              <w:fldChar w:fldCharType="separate"/>
            </w:r>
            <w:r>
              <w:rPr>
                <w:rFonts w:hint="eastAsia" w:ascii="宋体" w:hAnsi="宋体" w:cs="宋体"/>
                <w:color w:val="auto"/>
                <w:szCs w:val="21"/>
              </w:rPr>
              <w:t>①</w:t>
            </w:r>
            <w:r>
              <w:rPr>
                <w:rFonts w:eastAsia="黑体"/>
                <w:snapToGrid w:val="0"/>
                <w:color w:val="auto"/>
                <w:spacing w:val="-6"/>
                <w:kern w:val="21"/>
                <w:szCs w:val="21"/>
              </w:rPr>
              <w:fldChar w:fldCharType="end"/>
            </w:r>
          </w:p>
        </w:tc>
        <w:tc>
          <w:tcPr>
            <w:tcW w:w="447" w:type="pct"/>
            <w:tcMar>
              <w:left w:w="28" w:type="dxa"/>
              <w:right w:w="28" w:type="dxa"/>
            </w:tcMar>
            <w:vAlign w:val="center"/>
          </w:tcPr>
          <w:p w14:paraId="72068171">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现有工程</w:t>
            </w:r>
          </w:p>
          <w:p w14:paraId="68DC61EF">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许可排放量</w:t>
            </w:r>
          </w:p>
          <w:p w14:paraId="73574A69">
            <w:pPr>
              <w:adjustRightInd w:val="0"/>
              <w:snapToGrid w:val="0"/>
              <w:spacing w:line="259" w:lineRule="auto"/>
              <w:jc w:val="center"/>
              <w:rPr>
                <w:rFonts w:eastAsia="黑体"/>
                <w:snapToGrid w:val="0"/>
                <w:color w:val="auto"/>
                <w:spacing w:val="-6"/>
                <w:kern w:val="21"/>
                <w:szCs w:val="21"/>
              </w:rPr>
            </w:pPr>
            <w:r>
              <w:rPr>
                <w:rFonts w:eastAsia="黑体"/>
                <w:snapToGrid w:val="0"/>
                <w:color w:val="auto"/>
                <w:spacing w:val="-6"/>
                <w:kern w:val="21"/>
                <w:szCs w:val="21"/>
              </w:rPr>
              <w:fldChar w:fldCharType="begin"/>
            </w:r>
            <w:r>
              <w:rPr>
                <w:rFonts w:eastAsia="黑体"/>
                <w:snapToGrid w:val="0"/>
                <w:color w:val="auto"/>
                <w:spacing w:val="-6"/>
                <w:kern w:val="21"/>
                <w:szCs w:val="21"/>
              </w:rPr>
              <w:instrText xml:space="preserve"> = 2 \* GB3 \* MERGEFORMAT </w:instrText>
            </w:r>
            <w:r>
              <w:rPr>
                <w:rFonts w:eastAsia="黑体"/>
                <w:snapToGrid w:val="0"/>
                <w:color w:val="auto"/>
                <w:spacing w:val="-6"/>
                <w:kern w:val="21"/>
                <w:szCs w:val="21"/>
              </w:rPr>
              <w:fldChar w:fldCharType="separate"/>
            </w:r>
            <w:r>
              <w:rPr>
                <w:rFonts w:hint="eastAsia" w:ascii="宋体" w:hAnsi="宋体" w:cs="宋体"/>
                <w:snapToGrid w:val="0"/>
                <w:color w:val="auto"/>
                <w:spacing w:val="-6"/>
                <w:kern w:val="21"/>
                <w:szCs w:val="21"/>
              </w:rPr>
              <w:t>②</w:t>
            </w:r>
            <w:r>
              <w:rPr>
                <w:rFonts w:eastAsia="黑体"/>
                <w:snapToGrid w:val="0"/>
                <w:color w:val="auto"/>
                <w:spacing w:val="-6"/>
                <w:kern w:val="21"/>
                <w:szCs w:val="21"/>
              </w:rPr>
              <w:fldChar w:fldCharType="end"/>
            </w:r>
          </w:p>
        </w:tc>
        <w:tc>
          <w:tcPr>
            <w:tcW w:w="600" w:type="pct"/>
            <w:tcMar>
              <w:left w:w="28" w:type="dxa"/>
              <w:right w:w="28" w:type="dxa"/>
            </w:tcMar>
            <w:vAlign w:val="center"/>
          </w:tcPr>
          <w:p w14:paraId="1A4FB52A">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在建工程</w:t>
            </w:r>
          </w:p>
          <w:p w14:paraId="26123F33">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排放量（固体废物产生量）</w:t>
            </w:r>
            <w:r>
              <w:rPr>
                <w:rFonts w:eastAsia="黑体"/>
                <w:snapToGrid w:val="0"/>
                <w:color w:val="auto"/>
                <w:spacing w:val="-6"/>
                <w:kern w:val="21"/>
                <w:szCs w:val="21"/>
              </w:rPr>
              <w:fldChar w:fldCharType="begin"/>
            </w:r>
            <w:r>
              <w:rPr>
                <w:rFonts w:eastAsia="黑体"/>
                <w:snapToGrid w:val="0"/>
                <w:color w:val="auto"/>
                <w:spacing w:val="-6"/>
                <w:kern w:val="21"/>
                <w:szCs w:val="21"/>
              </w:rPr>
              <w:instrText xml:space="preserve"> = 3 \* GB3 \* MERGEFORMAT </w:instrText>
            </w:r>
            <w:r>
              <w:rPr>
                <w:rFonts w:eastAsia="黑体"/>
                <w:snapToGrid w:val="0"/>
                <w:color w:val="auto"/>
                <w:spacing w:val="-6"/>
                <w:kern w:val="21"/>
                <w:szCs w:val="21"/>
              </w:rPr>
              <w:fldChar w:fldCharType="separate"/>
            </w:r>
            <w:r>
              <w:rPr>
                <w:rFonts w:hint="eastAsia" w:ascii="宋体" w:hAnsi="宋体" w:cs="宋体"/>
                <w:color w:val="auto"/>
                <w:szCs w:val="21"/>
              </w:rPr>
              <w:t>③</w:t>
            </w:r>
            <w:r>
              <w:rPr>
                <w:rFonts w:eastAsia="黑体"/>
                <w:snapToGrid w:val="0"/>
                <w:color w:val="auto"/>
                <w:spacing w:val="-6"/>
                <w:kern w:val="21"/>
                <w:szCs w:val="21"/>
              </w:rPr>
              <w:fldChar w:fldCharType="end"/>
            </w:r>
          </w:p>
        </w:tc>
        <w:tc>
          <w:tcPr>
            <w:tcW w:w="548" w:type="pct"/>
            <w:tcMar>
              <w:left w:w="28" w:type="dxa"/>
              <w:right w:w="28" w:type="dxa"/>
            </w:tcMar>
            <w:vAlign w:val="center"/>
          </w:tcPr>
          <w:p w14:paraId="69198A7F">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本项目</w:t>
            </w:r>
          </w:p>
          <w:p w14:paraId="38EC8283">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排放量（固体废物产生量）</w:t>
            </w:r>
            <w:r>
              <w:rPr>
                <w:rFonts w:eastAsia="黑体"/>
                <w:snapToGrid w:val="0"/>
                <w:color w:val="auto"/>
                <w:spacing w:val="-6"/>
                <w:kern w:val="21"/>
                <w:szCs w:val="21"/>
              </w:rPr>
              <w:fldChar w:fldCharType="begin"/>
            </w:r>
            <w:r>
              <w:rPr>
                <w:rFonts w:eastAsia="黑体"/>
                <w:snapToGrid w:val="0"/>
                <w:color w:val="auto"/>
                <w:spacing w:val="-6"/>
                <w:kern w:val="21"/>
                <w:szCs w:val="21"/>
              </w:rPr>
              <w:instrText xml:space="preserve"> = 4 \* GB3 \* MERGEFORMAT </w:instrText>
            </w:r>
            <w:r>
              <w:rPr>
                <w:rFonts w:eastAsia="黑体"/>
                <w:snapToGrid w:val="0"/>
                <w:color w:val="auto"/>
                <w:spacing w:val="-6"/>
                <w:kern w:val="21"/>
                <w:szCs w:val="21"/>
              </w:rPr>
              <w:fldChar w:fldCharType="separate"/>
            </w:r>
            <w:r>
              <w:rPr>
                <w:rFonts w:hint="eastAsia" w:ascii="宋体" w:hAnsi="宋体" w:cs="宋体"/>
                <w:color w:val="auto"/>
                <w:szCs w:val="21"/>
              </w:rPr>
              <w:t>④</w:t>
            </w:r>
            <w:r>
              <w:rPr>
                <w:rFonts w:eastAsia="黑体"/>
                <w:snapToGrid w:val="0"/>
                <w:color w:val="auto"/>
                <w:spacing w:val="-6"/>
                <w:kern w:val="21"/>
                <w:szCs w:val="21"/>
              </w:rPr>
              <w:fldChar w:fldCharType="end"/>
            </w:r>
          </w:p>
        </w:tc>
        <w:tc>
          <w:tcPr>
            <w:tcW w:w="622" w:type="pct"/>
            <w:tcMar>
              <w:left w:w="28" w:type="dxa"/>
              <w:right w:w="28" w:type="dxa"/>
            </w:tcMar>
            <w:vAlign w:val="center"/>
          </w:tcPr>
          <w:p w14:paraId="45B6F6F4">
            <w:pPr>
              <w:adjustRightInd w:val="0"/>
              <w:snapToGrid w:val="0"/>
              <w:jc w:val="center"/>
              <w:rPr>
                <w:rFonts w:eastAsia="黑体"/>
                <w:snapToGrid w:val="0"/>
                <w:color w:val="auto"/>
                <w:spacing w:val="-16"/>
                <w:kern w:val="21"/>
                <w:szCs w:val="21"/>
              </w:rPr>
            </w:pPr>
            <w:r>
              <w:rPr>
                <w:rFonts w:eastAsia="黑体"/>
                <w:snapToGrid w:val="0"/>
                <w:color w:val="auto"/>
                <w:spacing w:val="-16"/>
                <w:kern w:val="21"/>
                <w:szCs w:val="21"/>
              </w:rPr>
              <w:t>以新带老削减量</w:t>
            </w:r>
          </w:p>
          <w:p w14:paraId="6A1AE083">
            <w:pPr>
              <w:adjustRightInd w:val="0"/>
              <w:snapToGrid w:val="0"/>
              <w:jc w:val="center"/>
              <w:rPr>
                <w:rFonts w:eastAsia="黑体"/>
                <w:snapToGrid w:val="0"/>
                <w:color w:val="auto"/>
                <w:spacing w:val="-16"/>
                <w:kern w:val="21"/>
                <w:szCs w:val="21"/>
              </w:rPr>
            </w:pPr>
            <w:r>
              <w:rPr>
                <w:rFonts w:eastAsia="黑体"/>
                <w:snapToGrid w:val="0"/>
                <w:color w:val="auto"/>
                <w:spacing w:val="-16"/>
                <w:kern w:val="21"/>
                <w:szCs w:val="21"/>
              </w:rPr>
              <w:t>（新建项目不填）</w:t>
            </w:r>
            <w:r>
              <w:rPr>
                <w:rFonts w:eastAsia="黑体"/>
                <w:snapToGrid w:val="0"/>
                <w:color w:val="auto"/>
                <w:spacing w:val="-16"/>
                <w:kern w:val="21"/>
                <w:szCs w:val="21"/>
              </w:rPr>
              <w:fldChar w:fldCharType="begin"/>
            </w:r>
            <w:r>
              <w:rPr>
                <w:rFonts w:eastAsia="黑体"/>
                <w:snapToGrid w:val="0"/>
                <w:color w:val="auto"/>
                <w:spacing w:val="-16"/>
                <w:kern w:val="21"/>
                <w:szCs w:val="21"/>
              </w:rPr>
              <w:instrText xml:space="preserve"> = 5 \* GB3 \* MERGEFORMAT </w:instrText>
            </w:r>
            <w:r>
              <w:rPr>
                <w:rFonts w:eastAsia="黑体"/>
                <w:snapToGrid w:val="0"/>
                <w:color w:val="auto"/>
                <w:spacing w:val="-16"/>
                <w:kern w:val="21"/>
                <w:szCs w:val="21"/>
              </w:rPr>
              <w:fldChar w:fldCharType="separate"/>
            </w:r>
            <w:r>
              <w:rPr>
                <w:rFonts w:hint="eastAsia" w:ascii="宋体" w:hAnsi="宋体" w:cs="宋体"/>
                <w:color w:val="auto"/>
                <w:szCs w:val="21"/>
              </w:rPr>
              <w:t>⑤</w:t>
            </w:r>
            <w:r>
              <w:rPr>
                <w:rFonts w:eastAsia="黑体"/>
                <w:snapToGrid w:val="0"/>
                <w:color w:val="auto"/>
                <w:spacing w:val="-16"/>
                <w:kern w:val="21"/>
                <w:szCs w:val="21"/>
              </w:rPr>
              <w:fldChar w:fldCharType="end"/>
            </w:r>
          </w:p>
        </w:tc>
        <w:tc>
          <w:tcPr>
            <w:tcW w:w="579" w:type="pct"/>
            <w:tcMar>
              <w:left w:w="28" w:type="dxa"/>
              <w:right w:w="28" w:type="dxa"/>
            </w:tcMar>
            <w:vAlign w:val="center"/>
          </w:tcPr>
          <w:p w14:paraId="5BBCBD0A">
            <w:pPr>
              <w:adjustRightInd w:val="0"/>
              <w:snapToGrid w:val="0"/>
              <w:jc w:val="center"/>
              <w:rPr>
                <w:rFonts w:eastAsia="黑体"/>
                <w:snapToGrid w:val="0"/>
                <w:color w:val="auto"/>
                <w:spacing w:val="-16"/>
                <w:kern w:val="21"/>
                <w:szCs w:val="21"/>
              </w:rPr>
            </w:pPr>
            <w:r>
              <w:rPr>
                <w:rFonts w:eastAsia="黑体"/>
                <w:snapToGrid w:val="0"/>
                <w:color w:val="auto"/>
                <w:spacing w:val="-16"/>
                <w:kern w:val="21"/>
                <w:szCs w:val="21"/>
              </w:rPr>
              <w:t>本项目建成后</w:t>
            </w:r>
          </w:p>
          <w:p w14:paraId="62C1B553">
            <w:pPr>
              <w:adjustRightInd w:val="0"/>
              <w:snapToGrid w:val="0"/>
              <w:jc w:val="center"/>
              <w:rPr>
                <w:rFonts w:eastAsia="黑体"/>
                <w:snapToGrid w:val="0"/>
                <w:color w:val="auto"/>
                <w:spacing w:val="-16"/>
                <w:kern w:val="21"/>
                <w:szCs w:val="21"/>
              </w:rPr>
            </w:pPr>
            <w:r>
              <w:rPr>
                <w:rFonts w:eastAsia="黑体"/>
                <w:snapToGrid w:val="0"/>
                <w:color w:val="auto"/>
                <w:spacing w:val="-16"/>
                <w:kern w:val="21"/>
                <w:szCs w:val="21"/>
              </w:rPr>
              <w:t>全厂排放量（固体废物产生量）</w:t>
            </w:r>
            <w:r>
              <w:rPr>
                <w:rFonts w:eastAsia="黑体"/>
                <w:snapToGrid w:val="0"/>
                <w:color w:val="auto"/>
                <w:spacing w:val="-16"/>
                <w:kern w:val="21"/>
                <w:szCs w:val="21"/>
              </w:rPr>
              <w:fldChar w:fldCharType="begin"/>
            </w:r>
            <w:r>
              <w:rPr>
                <w:rFonts w:eastAsia="黑体"/>
                <w:snapToGrid w:val="0"/>
                <w:color w:val="auto"/>
                <w:spacing w:val="-16"/>
                <w:kern w:val="21"/>
                <w:szCs w:val="21"/>
              </w:rPr>
              <w:instrText xml:space="preserve"> = 6 \* GB3 \* MERGEFORMAT </w:instrText>
            </w:r>
            <w:r>
              <w:rPr>
                <w:rFonts w:eastAsia="黑体"/>
                <w:snapToGrid w:val="0"/>
                <w:color w:val="auto"/>
                <w:spacing w:val="-16"/>
                <w:kern w:val="21"/>
                <w:szCs w:val="21"/>
              </w:rPr>
              <w:fldChar w:fldCharType="separate"/>
            </w:r>
            <w:r>
              <w:rPr>
                <w:rFonts w:hint="eastAsia" w:ascii="宋体" w:hAnsi="宋体" w:cs="宋体"/>
                <w:color w:val="auto"/>
                <w:szCs w:val="21"/>
              </w:rPr>
              <w:t>⑥</w:t>
            </w:r>
            <w:r>
              <w:rPr>
                <w:rFonts w:eastAsia="黑体"/>
                <w:snapToGrid w:val="0"/>
                <w:color w:val="auto"/>
                <w:spacing w:val="-16"/>
                <w:kern w:val="21"/>
                <w:szCs w:val="21"/>
              </w:rPr>
              <w:fldChar w:fldCharType="end"/>
            </w:r>
          </w:p>
        </w:tc>
        <w:tc>
          <w:tcPr>
            <w:tcW w:w="521" w:type="pct"/>
            <w:tcMar>
              <w:left w:w="28" w:type="dxa"/>
              <w:right w:w="28" w:type="dxa"/>
            </w:tcMar>
            <w:vAlign w:val="center"/>
          </w:tcPr>
          <w:p w14:paraId="1A01B896">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t>变化量</w:t>
            </w:r>
          </w:p>
          <w:p w14:paraId="05364683">
            <w:pPr>
              <w:adjustRightInd w:val="0"/>
              <w:snapToGrid w:val="0"/>
              <w:jc w:val="center"/>
              <w:rPr>
                <w:rFonts w:eastAsia="黑体"/>
                <w:snapToGrid w:val="0"/>
                <w:color w:val="auto"/>
                <w:spacing w:val="-6"/>
                <w:kern w:val="21"/>
                <w:szCs w:val="21"/>
              </w:rPr>
            </w:pPr>
            <w:r>
              <w:rPr>
                <w:rFonts w:eastAsia="黑体"/>
                <w:snapToGrid w:val="0"/>
                <w:color w:val="auto"/>
                <w:spacing w:val="-6"/>
                <w:kern w:val="21"/>
                <w:szCs w:val="21"/>
              </w:rPr>
              <w:fldChar w:fldCharType="begin"/>
            </w:r>
            <w:r>
              <w:rPr>
                <w:rFonts w:eastAsia="黑体"/>
                <w:snapToGrid w:val="0"/>
                <w:color w:val="auto"/>
                <w:spacing w:val="-6"/>
                <w:kern w:val="21"/>
                <w:szCs w:val="21"/>
              </w:rPr>
              <w:instrText xml:space="preserve"> = 7 \* GB3 \* MERGEFORMAT </w:instrText>
            </w:r>
            <w:r>
              <w:rPr>
                <w:rFonts w:eastAsia="黑体"/>
                <w:snapToGrid w:val="0"/>
                <w:color w:val="auto"/>
                <w:spacing w:val="-6"/>
                <w:kern w:val="21"/>
                <w:szCs w:val="21"/>
              </w:rPr>
              <w:fldChar w:fldCharType="separate"/>
            </w:r>
            <w:r>
              <w:rPr>
                <w:rFonts w:hint="eastAsia" w:ascii="宋体" w:hAnsi="宋体" w:cs="宋体"/>
                <w:color w:val="auto"/>
                <w:szCs w:val="21"/>
              </w:rPr>
              <w:t>⑦</w:t>
            </w:r>
            <w:r>
              <w:rPr>
                <w:rFonts w:eastAsia="黑体"/>
                <w:snapToGrid w:val="0"/>
                <w:color w:val="auto"/>
                <w:spacing w:val="-6"/>
                <w:kern w:val="21"/>
                <w:szCs w:val="21"/>
              </w:rPr>
              <w:fldChar w:fldCharType="end"/>
            </w:r>
          </w:p>
        </w:tc>
      </w:tr>
      <w:tr w14:paraId="5188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restart"/>
            <w:vAlign w:val="center"/>
          </w:tcPr>
          <w:p w14:paraId="70DE8D41">
            <w:pPr>
              <w:adjustRightInd w:val="0"/>
              <w:snapToGrid w:val="0"/>
              <w:jc w:val="center"/>
              <w:rPr>
                <w:snapToGrid w:val="0"/>
                <w:color w:val="auto"/>
                <w:kern w:val="21"/>
                <w:szCs w:val="21"/>
              </w:rPr>
            </w:pPr>
            <w:r>
              <w:rPr>
                <w:snapToGrid w:val="0"/>
                <w:color w:val="auto"/>
                <w:kern w:val="21"/>
                <w:szCs w:val="21"/>
              </w:rPr>
              <w:t>废气</w:t>
            </w:r>
          </w:p>
        </w:tc>
        <w:tc>
          <w:tcPr>
            <w:tcW w:w="596" w:type="pct"/>
            <w:gridSpan w:val="2"/>
          </w:tcPr>
          <w:p w14:paraId="1EB5D2F8">
            <w:pPr>
              <w:jc w:val="center"/>
              <w:rPr>
                <w:snapToGrid w:val="0"/>
                <w:color w:val="auto"/>
                <w:kern w:val="28"/>
                <w:szCs w:val="21"/>
              </w:rPr>
            </w:pPr>
            <w:r>
              <w:rPr>
                <w:rFonts w:hint="eastAsia"/>
                <w:snapToGrid w:val="0"/>
                <w:color w:val="auto"/>
                <w:kern w:val="28"/>
                <w:szCs w:val="21"/>
              </w:rPr>
              <w:t>颗粒物</w:t>
            </w:r>
          </w:p>
        </w:tc>
        <w:tc>
          <w:tcPr>
            <w:tcW w:w="525" w:type="pct"/>
            <w:vAlign w:val="center"/>
          </w:tcPr>
          <w:p w14:paraId="47BDFA49">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6F7E4B61">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27EED3AA">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4F78EF69">
            <w:pPr>
              <w:widowControl/>
              <w:jc w:val="center"/>
              <w:rPr>
                <w:rFonts w:hint="default" w:eastAsia="宋体"/>
                <w:color w:val="auto"/>
                <w:kern w:val="0"/>
                <w:szCs w:val="21"/>
                <w:lang w:val="en-US" w:eastAsia="zh-CN"/>
              </w:rPr>
            </w:pPr>
            <w:r>
              <w:rPr>
                <w:color w:val="auto"/>
                <w:szCs w:val="21"/>
              </w:rPr>
              <w:t>0.</w:t>
            </w:r>
            <w:r>
              <w:rPr>
                <w:rFonts w:hint="eastAsia"/>
                <w:color w:val="auto"/>
                <w:szCs w:val="21"/>
                <w:lang w:val="en-US" w:eastAsia="zh-CN"/>
              </w:rPr>
              <w:t>12</w:t>
            </w:r>
          </w:p>
        </w:tc>
        <w:tc>
          <w:tcPr>
            <w:tcW w:w="622" w:type="pct"/>
            <w:vAlign w:val="center"/>
          </w:tcPr>
          <w:p w14:paraId="483D1916">
            <w:pPr>
              <w:adjustRightInd w:val="0"/>
              <w:snapToGrid w:val="0"/>
              <w:jc w:val="center"/>
              <w:rPr>
                <w:snapToGrid w:val="0"/>
                <w:color w:val="auto"/>
                <w:kern w:val="21"/>
                <w:szCs w:val="21"/>
              </w:rPr>
            </w:pPr>
            <w:r>
              <w:rPr>
                <w:snapToGrid w:val="0"/>
                <w:color w:val="auto"/>
                <w:kern w:val="21"/>
                <w:szCs w:val="21"/>
              </w:rPr>
              <w:t>/</w:t>
            </w:r>
          </w:p>
        </w:tc>
        <w:tc>
          <w:tcPr>
            <w:tcW w:w="579" w:type="pct"/>
            <w:vAlign w:val="center"/>
          </w:tcPr>
          <w:p w14:paraId="47E90E64">
            <w:pPr>
              <w:widowControl/>
              <w:jc w:val="center"/>
              <w:rPr>
                <w:color w:val="auto"/>
                <w:kern w:val="0"/>
                <w:szCs w:val="21"/>
              </w:rPr>
            </w:pPr>
            <w:r>
              <w:rPr>
                <w:color w:val="auto"/>
                <w:szCs w:val="21"/>
              </w:rPr>
              <w:t>0.</w:t>
            </w:r>
            <w:r>
              <w:rPr>
                <w:rFonts w:hint="eastAsia"/>
                <w:color w:val="auto"/>
                <w:szCs w:val="21"/>
                <w:lang w:val="en-US" w:eastAsia="zh-CN"/>
              </w:rPr>
              <w:t>12</w:t>
            </w:r>
          </w:p>
        </w:tc>
        <w:tc>
          <w:tcPr>
            <w:tcW w:w="521" w:type="pct"/>
            <w:vAlign w:val="center"/>
          </w:tcPr>
          <w:p w14:paraId="4FAABC72">
            <w:pPr>
              <w:widowControl/>
              <w:jc w:val="center"/>
              <w:rPr>
                <w:rFonts w:hint="default" w:eastAsia="宋体"/>
                <w:color w:val="auto"/>
                <w:kern w:val="0"/>
                <w:szCs w:val="21"/>
                <w:lang w:val="en-US" w:eastAsia="zh-CN"/>
              </w:rPr>
            </w:pPr>
            <w:r>
              <w:rPr>
                <w:color w:val="auto"/>
                <w:szCs w:val="21"/>
              </w:rPr>
              <w:t>+0.</w:t>
            </w:r>
            <w:r>
              <w:rPr>
                <w:rFonts w:hint="eastAsia"/>
                <w:color w:val="auto"/>
                <w:szCs w:val="21"/>
                <w:lang w:val="en-US" w:eastAsia="zh-CN"/>
              </w:rPr>
              <w:t>12</w:t>
            </w:r>
          </w:p>
        </w:tc>
      </w:tr>
      <w:tr w14:paraId="2F98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restart"/>
            <w:vAlign w:val="center"/>
          </w:tcPr>
          <w:p w14:paraId="3782E77C">
            <w:pPr>
              <w:adjustRightInd w:val="0"/>
              <w:snapToGrid w:val="0"/>
              <w:jc w:val="center"/>
              <w:rPr>
                <w:snapToGrid w:val="0"/>
                <w:color w:val="auto"/>
                <w:kern w:val="21"/>
                <w:szCs w:val="21"/>
              </w:rPr>
            </w:pPr>
            <w:r>
              <w:rPr>
                <w:snapToGrid w:val="0"/>
                <w:color w:val="auto"/>
                <w:kern w:val="21"/>
                <w:szCs w:val="21"/>
              </w:rPr>
              <w:t>废水</w:t>
            </w:r>
          </w:p>
        </w:tc>
        <w:tc>
          <w:tcPr>
            <w:tcW w:w="236" w:type="pct"/>
            <w:vMerge w:val="restart"/>
            <w:vAlign w:val="center"/>
          </w:tcPr>
          <w:p w14:paraId="1A9EE195">
            <w:pPr>
              <w:adjustRightInd w:val="0"/>
              <w:snapToGrid w:val="0"/>
              <w:jc w:val="center"/>
              <w:rPr>
                <w:snapToGrid w:val="0"/>
                <w:color w:val="auto"/>
                <w:kern w:val="21"/>
                <w:szCs w:val="21"/>
              </w:rPr>
            </w:pPr>
            <w:r>
              <w:rPr>
                <w:rFonts w:hint="eastAsia"/>
                <w:snapToGrid w:val="0"/>
                <w:color w:val="auto"/>
                <w:kern w:val="0"/>
              </w:rPr>
              <w:t>生活污水</w:t>
            </w:r>
          </w:p>
        </w:tc>
        <w:tc>
          <w:tcPr>
            <w:tcW w:w="360" w:type="pct"/>
            <w:vAlign w:val="center"/>
          </w:tcPr>
          <w:p w14:paraId="246BA05A">
            <w:pPr>
              <w:kinsoku w:val="0"/>
              <w:overflowPunct w:val="0"/>
              <w:autoSpaceDE w:val="0"/>
              <w:autoSpaceDN w:val="0"/>
              <w:adjustRightInd w:val="0"/>
              <w:snapToGrid w:val="0"/>
              <w:jc w:val="center"/>
              <w:rPr>
                <w:snapToGrid w:val="0"/>
                <w:color w:val="auto"/>
                <w:kern w:val="0"/>
              </w:rPr>
            </w:pPr>
            <w:r>
              <w:rPr>
                <w:snapToGrid w:val="0"/>
                <w:color w:val="auto"/>
                <w:kern w:val="0"/>
              </w:rPr>
              <w:t>COD</w:t>
            </w:r>
          </w:p>
        </w:tc>
        <w:tc>
          <w:tcPr>
            <w:tcW w:w="525" w:type="pct"/>
            <w:vAlign w:val="center"/>
          </w:tcPr>
          <w:p w14:paraId="20E9875D">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05BDADB4">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7E9E7AEB">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50F8CB48">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color w:val="auto"/>
                <w:sz w:val="22"/>
                <w:szCs w:val="22"/>
              </w:rPr>
              <w:t>0.0</w:t>
            </w:r>
            <w:r>
              <w:rPr>
                <w:rFonts w:hint="eastAsia"/>
                <w:color w:val="auto"/>
                <w:sz w:val="22"/>
                <w:szCs w:val="22"/>
                <w:lang w:val="en-US" w:eastAsia="zh-CN"/>
              </w:rPr>
              <w:t>672</w:t>
            </w:r>
          </w:p>
        </w:tc>
        <w:tc>
          <w:tcPr>
            <w:tcW w:w="622" w:type="pct"/>
            <w:vAlign w:val="center"/>
          </w:tcPr>
          <w:p w14:paraId="5A9B6FBD">
            <w:pPr>
              <w:widowControl/>
              <w:jc w:val="center"/>
              <w:rPr>
                <w:color w:val="auto"/>
                <w:kern w:val="0"/>
                <w:szCs w:val="21"/>
              </w:rPr>
            </w:pPr>
            <w:r>
              <w:rPr>
                <w:color w:val="auto"/>
                <w:szCs w:val="21"/>
              </w:rPr>
              <w:t>/</w:t>
            </w:r>
          </w:p>
        </w:tc>
        <w:tc>
          <w:tcPr>
            <w:tcW w:w="579" w:type="pct"/>
            <w:vAlign w:val="center"/>
          </w:tcPr>
          <w:p w14:paraId="5E4F0AF9">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color w:val="auto"/>
                <w:sz w:val="22"/>
                <w:szCs w:val="22"/>
              </w:rPr>
              <w:t>0.0</w:t>
            </w:r>
            <w:r>
              <w:rPr>
                <w:rFonts w:hint="eastAsia"/>
                <w:color w:val="auto"/>
                <w:sz w:val="22"/>
                <w:szCs w:val="22"/>
                <w:lang w:val="en-US" w:eastAsia="zh-CN"/>
              </w:rPr>
              <w:t>672</w:t>
            </w:r>
          </w:p>
        </w:tc>
        <w:tc>
          <w:tcPr>
            <w:tcW w:w="521" w:type="pct"/>
            <w:vAlign w:val="center"/>
          </w:tcPr>
          <w:p w14:paraId="2C1DF550">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color w:val="auto"/>
                <w:sz w:val="22"/>
                <w:szCs w:val="22"/>
              </w:rPr>
              <w:t>+0.0</w:t>
            </w:r>
            <w:r>
              <w:rPr>
                <w:rFonts w:hint="eastAsia"/>
                <w:color w:val="auto"/>
                <w:sz w:val="22"/>
                <w:szCs w:val="22"/>
                <w:lang w:val="en-US" w:eastAsia="zh-CN"/>
              </w:rPr>
              <w:t>672</w:t>
            </w:r>
          </w:p>
        </w:tc>
      </w:tr>
      <w:tr w14:paraId="2E5B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continue"/>
            <w:vAlign w:val="center"/>
          </w:tcPr>
          <w:p w14:paraId="143A89F8">
            <w:pPr>
              <w:adjustRightInd w:val="0"/>
              <w:snapToGrid w:val="0"/>
              <w:jc w:val="center"/>
              <w:rPr>
                <w:snapToGrid w:val="0"/>
                <w:color w:val="auto"/>
                <w:kern w:val="21"/>
                <w:szCs w:val="21"/>
              </w:rPr>
            </w:pPr>
          </w:p>
        </w:tc>
        <w:tc>
          <w:tcPr>
            <w:tcW w:w="236" w:type="pct"/>
            <w:vMerge w:val="continue"/>
            <w:vAlign w:val="center"/>
          </w:tcPr>
          <w:p w14:paraId="49DD70ED">
            <w:pPr>
              <w:adjustRightInd w:val="0"/>
              <w:snapToGrid w:val="0"/>
              <w:jc w:val="center"/>
              <w:rPr>
                <w:snapToGrid w:val="0"/>
                <w:color w:val="auto"/>
                <w:kern w:val="21"/>
                <w:szCs w:val="21"/>
              </w:rPr>
            </w:pPr>
          </w:p>
        </w:tc>
        <w:tc>
          <w:tcPr>
            <w:tcW w:w="360" w:type="pct"/>
            <w:vAlign w:val="center"/>
          </w:tcPr>
          <w:p w14:paraId="7B6A6AFD">
            <w:pPr>
              <w:kinsoku w:val="0"/>
              <w:overflowPunct w:val="0"/>
              <w:autoSpaceDE w:val="0"/>
              <w:autoSpaceDN w:val="0"/>
              <w:adjustRightInd w:val="0"/>
              <w:snapToGrid w:val="0"/>
              <w:jc w:val="center"/>
              <w:rPr>
                <w:rFonts w:eastAsia="Times New Roman"/>
                <w:snapToGrid w:val="0"/>
                <w:color w:val="auto"/>
                <w:kern w:val="0"/>
                <w:lang w:eastAsia="zh-Hans"/>
              </w:rPr>
            </w:pPr>
            <w:r>
              <w:rPr>
                <w:snapToGrid w:val="0"/>
                <w:color w:val="auto"/>
                <w:kern w:val="0"/>
                <w:lang w:eastAsia="zh-Hans"/>
              </w:rPr>
              <w:t>BOD</w:t>
            </w:r>
            <w:r>
              <w:rPr>
                <w:snapToGrid w:val="0"/>
                <w:color w:val="auto"/>
                <w:kern w:val="0"/>
                <w:vertAlign w:val="subscript"/>
                <w:lang w:eastAsia="zh-Hans"/>
              </w:rPr>
              <w:t>5</w:t>
            </w:r>
          </w:p>
        </w:tc>
        <w:tc>
          <w:tcPr>
            <w:tcW w:w="525" w:type="pct"/>
            <w:vAlign w:val="center"/>
          </w:tcPr>
          <w:p w14:paraId="0357F118">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2CEB6D92">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25869EBC">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2E3D2EE8">
            <w:pPr>
              <w:kinsoku w:val="0"/>
              <w:overflowPunct w:val="0"/>
              <w:autoSpaceDE w:val="0"/>
              <w:autoSpaceDN w:val="0"/>
              <w:adjustRightInd w:val="0"/>
              <w:snapToGrid w:val="0"/>
              <w:jc w:val="center"/>
              <w:rPr>
                <w:rFonts w:hint="default" w:eastAsia="宋体"/>
                <w:snapToGrid w:val="0"/>
                <w:color w:val="auto"/>
                <w:kern w:val="0"/>
                <w:lang w:val="en-US" w:eastAsia="zh-CN"/>
              </w:rPr>
            </w:pPr>
            <w:r>
              <w:rPr>
                <w:snapToGrid w:val="0"/>
                <w:color w:val="auto"/>
                <w:kern w:val="0"/>
              </w:rPr>
              <w:t>0.</w:t>
            </w:r>
            <w:r>
              <w:rPr>
                <w:rFonts w:hint="eastAsia"/>
                <w:snapToGrid w:val="0"/>
                <w:color w:val="auto"/>
                <w:kern w:val="0"/>
                <w:lang w:val="en-US" w:eastAsia="zh-CN"/>
              </w:rPr>
              <w:t>0288</w:t>
            </w:r>
          </w:p>
        </w:tc>
        <w:tc>
          <w:tcPr>
            <w:tcW w:w="622" w:type="pct"/>
            <w:vAlign w:val="center"/>
          </w:tcPr>
          <w:p w14:paraId="49B50C3F">
            <w:pPr>
              <w:adjustRightInd w:val="0"/>
              <w:snapToGrid w:val="0"/>
              <w:jc w:val="center"/>
              <w:rPr>
                <w:snapToGrid w:val="0"/>
                <w:color w:val="auto"/>
                <w:kern w:val="21"/>
                <w:szCs w:val="21"/>
              </w:rPr>
            </w:pPr>
            <w:r>
              <w:rPr>
                <w:snapToGrid w:val="0"/>
                <w:color w:val="auto"/>
                <w:kern w:val="21"/>
                <w:szCs w:val="21"/>
              </w:rPr>
              <w:t>/</w:t>
            </w:r>
          </w:p>
        </w:tc>
        <w:tc>
          <w:tcPr>
            <w:tcW w:w="579" w:type="pct"/>
            <w:vAlign w:val="center"/>
          </w:tcPr>
          <w:p w14:paraId="17E1DA48">
            <w:pPr>
              <w:kinsoku w:val="0"/>
              <w:overflowPunct w:val="0"/>
              <w:autoSpaceDE w:val="0"/>
              <w:autoSpaceDN w:val="0"/>
              <w:adjustRightInd w:val="0"/>
              <w:snapToGrid w:val="0"/>
              <w:jc w:val="center"/>
              <w:rPr>
                <w:rFonts w:hint="default" w:eastAsia="宋体"/>
                <w:snapToGrid w:val="0"/>
                <w:color w:val="auto"/>
                <w:kern w:val="0"/>
                <w:lang w:val="en-US" w:eastAsia="zh-CN"/>
              </w:rPr>
            </w:pPr>
            <w:r>
              <w:rPr>
                <w:snapToGrid w:val="0"/>
                <w:color w:val="auto"/>
                <w:kern w:val="0"/>
              </w:rPr>
              <w:t>0.</w:t>
            </w:r>
            <w:r>
              <w:rPr>
                <w:rFonts w:hint="eastAsia"/>
                <w:snapToGrid w:val="0"/>
                <w:color w:val="auto"/>
                <w:kern w:val="0"/>
                <w:lang w:val="en-US" w:eastAsia="zh-CN"/>
              </w:rPr>
              <w:t>0288</w:t>
            </w:r>
          </w:p>
        </w:tc>
        <w:tc>
          <w:tcPr>
            <w:tcW w:w="521" w:type="pct"/>
            <w:vAlign w:val="center"/>
          </w:tcPr>
          <w:p w14:paraId="389A2E0D">
            <w:pPr>
              <w:kinsoku w:val="0"/>
              <w:overflowPunct w:val="0"/>
              <w:autoSpaceDE w:val="0"/>
              <w:autoSpaceDN w:val="0"/>
              <w:adjustRightInd w:val="0"/>
              <w:snapToGrid w:val="0"/>
              <w:jc w:val="center"/>
              <w:rPr>
                <w:rFonts w:hint="default" w:eastAsia="宋体"/>
                <w:snapToGrid w:val="0"/>
                <w:color w:val="auto"/>
                <w:kern w:val="0"/>
                <w:lang w:val="en-US" w:eastAsia="zh-CN"/>
              </w:rPr>
            </w:pPr>
            <w:r>
              <w:rPr>
                <w:snapToGrid w:val="0"/>
                <w:color w:val="auto"/>
                <w:kern w:val="0"/>
              </w:rPr>
              <w:t>+0.</w:t>
            </w:r>
            <w:r>
              <w:rPr>
                <w:rFonts w:hint="eastAsia"/>
                <w:snapToGrid w:val="0"/>
                <w:color w:val="auto"/>
                <w:kern w:val="0"/>
                <w:lang w:val="en-US" w:eastAsia="zh-CN"/>
              </w:rPr>
              <w:t>0288</w:t>
            </w:r>
          </w:p>
        </w:tc>
      </w:tr>
      <w:tr w14:paraId="1D0B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continue"/>
            <w:vAlign w:val="center"/>
          </w:tcPr>
          <w:p w14:paraId="501D5067">
            <w:pPr>
              <w:adjustRightInd w:val="0"/>
              <w:snapToGrid w:val="0"/>
              <w:jc w:val="center"/>
              <w:rPr>
                <w:snapToGrid w:val="0"/>
                <w:color w:val="auto"/>
                <w:kern w:val="21"/>
                <w:szCs w:val="21"/>
              </w:rPr>
            </w:pPr>
          </w:p>
        </w:tc>
        <w:tc>
          <w:tcPr>
            <w:tcW w:w="236" w:type="pct"/>
            <w:vMerge w:val="continue"/>
            <w:vAlign w:val="center"/>
          </w:tcPr>
          <w:p w14:paraId="0E529F12">
            <w:pPr>
              <w:adjustRightInd w:val="0"/>
              <w:snapToGrid w:val="0"/>
              <w:jc w:val="center"/>
              <w:rPr>
                <w:snapToGrid w:val="0"/>
                <w:color w:val="auto"/>
                <w:kern w:val="21"/>
                <w:szCs w:val="21"/>
              </w:rPr>
            </w:pPr>
          </w:p>
        </w:tc>
        <w:tc>
          <w:tcPr>
            <w:tcW w:w="360" w:type="pct"/>
            <w:vAlign w:val="center"/>
          </w:tcPr>
          <w:p w14:paraId="48F25787">
            <w:pPr>
              <w:kinsoku w:val="0"/>
              <w:overflowPunct w:val="0"/>
              <w:autoSpaceDE w:val="0"/>
              <w:autoSpaceDN w:val="0"/>
              <w:adjustRightInd w:val="0"/>
              <w:snapToGrid w:val="0"/>
              <w:jc w:val="center"/>
              <w:rPr>
                <w:snapToGrid w:val="0"/>
                <w:color w:val="auto"/>
                <w:kern w:val="0"/>
              </w:rPr>
            </w:pPr>
            <w:r>
              <w:rPr>
                <w:snapToGrid w:val="0"/>
                <w:color w:val="auto"/>
                <w:kern w:val="0"/>
              </w:rPr>
              <w:t>SS</w:t>
            </w:r>
          </w:p>
        </w:tc>
        <w:tc>
          <w:tcPr>
            <w:tcW w:w="525" w:type="pct"/>
            <w:vAlign w:val="center"/>
          </w:tcPr>
          <w:p w14:paraId="15F59136">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18F46C66">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37D3E1EE">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267F4C14">
            <w:pPr>
              <w:kinsoku w:val="0"/>
              <w:overflowPunct w:val="0"/>
              <w:autoSpaceDE w:val="0"/>
              <w:autoSpaceDN w:val="0"/>
              <w:adjustRightInd w:val="0"/>
              <w:snapToGrid w:val="0"/>
              <w:jc w:val="center"/>
              <w:rPr>
                <w:snapToGrid w:val="0"/>
                <w:color w:val="auto"/>
                <w:kern w:val="0"/>
                <w:szCs w:val="21"/>
              </w:rPr>
            </w:pPr>
            <w:r>
              <w:rPr>
                <w:color w:val="auto"/>
                <w:sz w:val="22"/>
                <w:szCs w:val="22"/>
              </w:rPr>
              <w:t>0.0</w:t>
            </w:r>
            <w:r>
              <w:rPr>
                <w:rFonts w:hint="eastAsia"/>
                <w:color w:val="auto"/>
                <w:sz w:val="22"/>
                <w:szCs w:val="22"/>
                <w:lang w:val="en-US" w:eastAsia="zh-CN"/>
              </w:rPr>
              <w:t>36</w:t>
            </w:r>
          </w:p>
        </w:tc>
        <w:tc>
          <w:tcPr>
            <w:tcW w:w="622" w:type="pct"/>
            <w:vAlign w:val="center"/>
          </w:tcPr>
          <w:p w14:paraId="630017F1">
            <w:pPr>
              <w:adjustRightInd w:val="0"/>
              <w:snapToGrid w:val="0"/>
              <w:jc w:val="center"/>
              <w:rPr>
                <w:snapToGrid w:val="0"/>
                <w:color w:val="auto"/>
                <w:kern w:val="21"/>
                <w:szCs w:val="21"/>
              </w:rPr>
            </w:pPr>
            <w:r>
              <w:rPr>
                <w:snapToGrid w:val="0"/>
                <w:color w:val="auto"/>
                <w:kern w:val="21"/>
                <w:szCs w:val="21"/>
              </w:rPr>
              <w:t>/</w:t>
            </w:r>
          </w:p>
        </w:tc>
        <w:tc>
          <w:tcPr>
            <w:tcW w:w="579" w:type="pct"/>
            <w:vAlign w:val="center"/>
          </w:tcPr>
          <w:p w14:paraId="376F1E2F">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color w:val="auto"/>
                <w:sz w:val="22"/>
                <w:szCs w:val="22"/>
              </w:rPr>
              <w:t>0.0</w:t>
            </w:r>
            <w:r>
              <w:rPr>
                <w:rFonts w:hint="eastAsia"/>
                <w:color w:val="auto"/>
                <w:sz w:val="22"/>
                <w:szCs w:val="22"/>
                <w:lang w:val="en-US" w:eastAsia="zh-CN"/>
              </w:rPr>
              <w:t>36</w:t>
            </w:r>
          </w:p>
        </w:tc>
        <w:tc>
          <w:tcPr>
            <w:tcW w:w="521" w:type="pct"/>
            <w:vAlign w:val="center"/>
          </w:tcPr>
          <w:p w14:paraId="5F1B91E7">
            <w:pPr>
              <w:kinsoku w:val="0"/>
              <w:overflowPunct w:val="0"/>
              <w:autoSpaceDE w:val="0"/>
              <w:autoSpaceDN w:val="0"/>
              <w:adjustRightInd w:val="0"/>
              <w:snapToGrid w:val="0"/>
              <w:jc w:val="center"/>
              <w:rPr>
                <w:snapToGrid w:val="0"/>
                <w:color w:val="auto"/>
                <w:kern w:val="0"/>
                <w:szCs w:val="21"/>
              </w:rPr>
            </w:pPr>
            <w:r>
              <w:rPr>
                <w:color w:val="auto"/>
                <w:sz w:val="22"/>
                <w:szCs w:val="22"/>
              </w:rPr>
              <w:t>+0.0</w:t>
            </w:r>
            <w:r>
              <w:rPr>
                <w:rFonts w:hint="eastAsia"/>
                <w:color w:val="auto"/>
                <w:sz w:val="22"/>
                <w:szCs w:val="22"/>
                <w:lang w:val="en-US" w:eastAsia="zh-CN"/>
              </w:rPr>
              <w:t>36</w:t>
            </w:r>
            <w:r>
              <w:rPr>
                <w:color w:val="auto"/>
                <w:sz w:val="22"/>
                <w:szCs w:val="22"/>
              </w:rPr>
              <w:t>1</w:t>
            </w:r>
          </w:p>
        </w:tc>
      </w:tr>
      <w:tr w14:paraId="5163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continue"/>
            <w:vAlign w:val="center"/>
          </w:tcPr>
          <w:p w14:paraId="2B050B07">
            <w:pPr>
              <w:adjustRightInd w:val="0"/>
              <w:snapToGrid w:val="0"/>
              <w:jc w:val="center"/>
              <w:rPr>
                <w:snapToGrid w:val="0"/>
                <w:color w:val="auto"/>
                <w:kern w:val="21"/>
                <w:szCs w:val="21"/>
              </w:rPr>
            </w:pPr>
          </w:p>
        </w:tc>
        <w:tc>
          <w:tcPr>
            <w:tcW w:w="236" w:type="pct"/>
            <w:vMerge w:val="continue"/>
            <w:vAlign w:val="center"/>
          </w:tcPr>
          <w:p w14:paraId="382906A8">
            <w:pPr>
              <w:adjustRightInd w:val="0"/>
              <w:snapToGrid w:val="0"/>
              <w:jc w:val="center"/>
              <w:rPr>
                <w:snapToGrid w:val="0"/>
                <w:color w:val="auto"/>
                <w:kern w:val="21"/>
                <w:szCs w:val="21"/>
              </w:rPr>
            </w:pPr>
          </w:p>
        </w:tc>
        <w:tc>
          <w:tcPr>
            <w:tcW w:w="360" w:type="pct"/>
            <w:vAlign w:val="center"/>
          </w:tcPr>
          <w:p w14:paraId="2C6242F8">
            <w:pPr>
              <w:kinsoku w:val="0"/>
              <w:overflowPunct w:val="0"/>
              <w:autoSpaceDE w:val="0"/>
              <w:autoSpaceDN w:val="0"/>
              <w:adjustRightInd w:val="0"/>
              <w:snapToGrid w:val="0"/>
              <w:jc w:val="center"/>
              <w:rPr>
                <w:snapToGrid w:val="0"/>
                <w:color w:val="auto"/>
                <w:kern w:val="0"/>
              </w:rPr>
            </w:pPr>
            <w:r>
              <w:rPr>
                <w:rFonts w:hint="eastAsia"/>
                <w:snapToGrid w:val="0"/>
                <w:color w:val="auto"/>
                <w:kern w:val="0"/>
              </w:rPr>
              <w:t>氨氮</w:t>
            </w:r>
          </w:p>
        </w:tc>
        <w:tc>
          <w:tcPr>
            <w:tcW w:w="525" w:type="pct"/>
            <w:vAlign w:val="center"/>
          </w:tcPr>
          <w:p w14:paraId="3DF67A2C">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06494758">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4BC2DEE3">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60DDBDAA">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snapToGrid w:val="0"/>
                <w:color w:val="auto"/>
                <w:kern w:val="0"/>
              </w:rPr>
              <w:t>0.</w:t>
            </w:r>
            <w:r>
              <w:rPr>
                <w:rFonts w:hint="eastAsia"/>
                <w:snapToGrid w:val="0"/>
                <w:color w:val="auto"/>
                <w:kern w:val="0"/>
                <w:lang w:val="en-US" w:eastAsia="zh-CN"/>
              </w:rPr>
              <w:t>006</w:t>
            </w:r>
          </w:p>
        </w:tc>
        <w:tc>
          <w:tcPr>
            <w:tcW w:w="622" w:type="pct"/>
            <w:vAlign w:val="center"/>
          </w:tcPr>
          <w:p w14:paraId="7AB01865">
            <w:pPr>
              <w:adjustRightInd w:val="0"/>
              <w:snapToGrid w:val="0"/>
              <w:jc w:val="center"/>
              <w:rPr>
                <w:snapToGrid w:val="0"/>
                <w:color w:val="auto"/>
                <w:kern w:val="21"/>
                <w:szCs w:val="21"/>
              </w:rPr>
            </w:pPr>
            <w:r>
              <w:rPr>
                <w:snapToGrid w:val="0"/>
                <w:color w:val="auto"/>
                <w:kern w:val="21"/>
                <w:szCs w:val="21"/>
              </w:rPr>
              <w:t>/</w:t>
            </w:r>
          </w:p>
        </w:tc>
        <w:tc>
          <w:tcPr>
            <w:tcW w:w="579" w:type="pct"/>
            <w:vAlign w:val="center"/>
          </w:tcPr>
          <w:p w14:paraId="5395F20D">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snapToGrid w:val="0"/>
                <w:color w:val="auto"/>
                <w:kern w:val="0"/>
              </w:rPr>
              <w:t>0.</w:t>
            </w:r>
            <w:r>
              <w:rPr>
                <w:rFonts w:hint="eastAsia"/>
                <w:snapToGrid w:val="0"/>
                <w:color w:val="auto"/>
                <w:kern w:val="0"/>
                <w:lang w:val="en-US" w:eastAsia="zh-CN"/>
              </w:rPr>
              <w:t>006</w:t>
            </w:r>
          </w:p>
        </w:tc>
        <w:tc>
          <w:tcPr>
            <w:tcW w:w="521" w:type="pct"/>
            <w:vAlign w:val="center"/>
          </w:tcPr>
          <w:p w14:paraId="0E55C43F">
            <w:pPr>
              <w:kinsoku w:val="0"/>
              <w:overflowPunct w:val="0"/>
              <w:autoSpaceDE w:val="0"/>
              <w:autoSpaceDN w:val="0"/>
              <w:adjustRightInd w:val="0"/>
              <w:snapToGrid w:val="0"/>
              <w:jc w:val="center"/>
              <w:rPr>
                <w:rFonts w:hint="default" w:eastAsia="宋体"/>
                <w:snapToGrid w:val="0"/>
                <w:color w:val="auto"/>
                <w:kern w:val="0"/>
                <w:szCs w:val="21"/>
                <w:lang w:val="en-US" w:eastAsia="zh-CN"/>
              </w:rPr>
            </w:pPr>
            <w:r>
              <w:rPr>
                <w:snapToGrid w:val="0"/>
                <w:color w:val="auto"/>
                <w:kern w:val="0"/>
              </w:rPr>
              <w:t>+0.</w:t>
            </w:r>
            <w:r>
              <w:rPr>
                <w:rFonts w:hint="eastAsia"/>
                <w:snapToGrid w:val="0"/>
                <w:color w:val="auto"/>
                <w:kern w:val="0"/>
                <w:lang w:val="en-US" w:eastAsia="zh-CN"/>
              </w:rPr>
              <w:t>006</w:t>
            </w:r>
          </w:p>
        </w:tc>
      </w:tr>
      <w:tr w14:paraId="33E5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8" w:type="pct"/>
            <w:vMerge w:val="restart"/>
            <w:vAlign w:val="center"/>
          </w:tcPr>
          <w:p w14:paraId="0BBAAF0A">
            <w:pPr>
              <w:adjustRightInd w:val="0"/>
              <w:snapToGrid w:val="0"/>
              <w:jc w:val="center"/>
              <w:rPr>
                <w:snapToGrid w:val="0"/>
                <w:color w:val="auto"/>
                <w:kern w:val="21"/>
                <w:szCs w:val="21"/>
              </w:rPr>
            </w:pPr>
            <w:r>
              <w:rPr>
                <w:snapToGrid w:val="0"/>
                <w:color w:val="auto"/>
                <w:kern w:val="21"/>
                <w:szCs w:val="21"/>
              </w:rPr>
              <w:t>危险废物</w:t>
            </w:r>
          </w:p>
        </w:tc>
        <w:tc>
          <w:tcPr>
            <w:tcW w:w="596" w:type="pct"/>
            <w:gridSpan w:val="2"/>
            <w:vAlign w:val="center"/>
          </w:tcPr>
          <w:p w14:paraId="7E344B4D">
            <w:pPr>
              <w:spacing w:line="240" w:lineRule="exact"/>
              <w:jc w:val="center"/>
              <w:rPr>
                <w:color w:val="auto"/>
                <w:szCs w:val="21"/>
              </w:rPr>
            </w:pPr>
            <w:r>
              <w:rPr>
                <w:rFonts w:hint="eastAsia" w:ascii="宋体" w:hAnsi="宋体"/>
                <w:color w:val="auto"/>
                <w:szCs w:val="21"/>
              </w:rPr>
              <w:t>废机油</w:t>
            </w:r>
          </w:p>
        </w:tc>
        <w:tc>
          <w:tcPr>
            <w:tcW w:w="525" w:type="pct"/>
            <w:vAlign w:val="center"/>
          </w:tcPr>
          <w:p w14:paraId="3A66238E">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76F100B7">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775752D3">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191E0A2E">
            <w:pPr>
              <w:spacing w:line="240" w:lineRule="exact"/>
              <w:jc w:val="center"/>
              <w:rPr>
                <w:color w:val="auto"/>
                <w:szCs w:val="21"/>
              </w:rPr>
            </w:pPr>
            <w:r>
              <w:rPr>
                <w:snapToGrid w:val="0"/>
                <w:color w:val="auto"/>
                <w:kern w:val="0"/>
                <w:szCs w:val="21"/>
              </w:rPr>
              <w:t>0.1</w:t>
            </w:r>
          </w:p>
        </w:tc>
        <w:tc>
          <w:tcPr>
            <w:tcW w:w="622" w:type="pct"/>
            <w:vAlign w:val="center"/>
          </w:tcPr>
          <w:p w14:paraId="5D089F07">
            <w:pPr>
              <w:jc w:val="center"/>
              <w:rPr>
                <w:color w:val="auto"/>
              </w:rPr>
            </w:pPr>
            <w:r>
              <w:rPr>
                <w:snapToGrid w:val="0"/>
                <w:color w:val="auto"/>
                <w:kern w:val="21"/>
                <w:szCs w:val="21"/>
              </w:rPr>
              <w:t>/</w:t>
            </w:r>
          </w:p>
        </w:tc>
        <w:tc>
          <w:tcPr>
            <w:tcW w:w="579" w:type="pct"/>
            <w:vAlign w:val="center"/>
          </w:tcPr>
          <w:p w14:paraId="259F05FE">
            <w:pPr>
              <w:spacing w:line="240" w:lineRule="exact"/>
              <w:jc w:val="center"/>
              <w:rPr>
                <w:color w:val="auto"/>
                <w:szCs w:val="21"/>
              </w:rPr>
            </w:pPr>
            <w:r>
              <w:rPr>
                <w:snapToGrid w:val="0"/>
                <w:color w:val="auto"/>
                <w:kern w:val="0"/>
                <w:szCs w:val="21"/>
              </w:rPr>
              <w:t>0.1</w:t>
            </w:r>
          </w:p>
        </w:tc>
        <w:tc>
          <w:tcPr>
            <w:tcW w:w="521" w:type="pct"/>
            <w:vAlign w:val="center"/>
          </w:tcPr>
          <w:p w14:paraId="29FDA784">
            <w:pPr>
              <w:spacing w:line="240" w:lineRule="exact"/>
              <w:jc w:val="center"/>
              <w:rPr>
                <w:color w:val="auto"/>
                <w:szCs w:val="21"/>
              </w:rPr>
            </w:pPr>
            <w:r>
              <w:rPr>
                <w:snapToGrid w:val="0"/>
                <w:color w:val="auto"/>
                <w:kern w:val="0"/>
                <w:szCs w:val="21"/>
              </w:rPr>
              <w:t>+0.1</w:t>
            </w:r>
          </w:p>
        </w:tc>
      </w:tr>
      <w:tr w14:paraId="2D76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558" w:type="pct"/>
            <w:vMerge w:val="continue"/>
            <w:vAlign w:val="center"/>
          </w:tcPr>
          <w:p w14:paraId="7B6BD877">
            <w:pPr>
              <w:adjustRightInd w:val="0"/>
              <w:snapToGrid w:val="0"/>
              <w:jc w:val="center"/>
              <w:rPr>
                <w:snapToGrid w:val="0"/>
                <w:color w:val="auto"/>
                <w:kern w:val="21"/>
                <w:szCs w:val="21"/>
              </w:rPr>
            </w:pPr>
          </w:p>
        </w:tc>
        <w:tc>
          <w:tcPr>
            <w:tcW w:w="596" w:type="pct"/>
            <w:gridSpan w:val="2"/>
            <w:vAlign w:val="center"/>
          </w:tcPr>
          <w:p w14:paraId="6E295236">
            <w:pPr>
              <w:spacing w:line="240" w:lineRule="exact"/>
              <w:jc w:val="center"/>
              <w:rPr>
                <w:color w:val="auto"/>
                <w:szCs w:val="21"/>
              </w:rPr>
            </w:pPr>
            <w:r>
              <w:rPr>
                <w:rFonts w:hint="eastAsia" w:ascii="宋体" w:hAnsi="宋体"/>
                <w:color w:val="auto"/>
                <w:szCs w:val="21"/>
              </w:rPr>
              <w:t>废机油桶</w:t>
            </w:r>
          </w:p>
        </w:tc>
        <w:tc>
          <w:tcPr>
            <w:tcW w:w="525" w:type="pct"/>
            <w:vAlign w:val="center"/>
          </w:tcPr>
          <w:p w14:paraId="59B3A905">
            <w:pPr>
              <w:adjustRightInd w:val="0"/>
              <w:snapToGrid w:val="0"/>
              <w:jc w:val="center"/>
              <w:rPr>
                <w:snapToGrid w:val="0"/>
                <w:color w:val="auto"/>
                <w:kern w:val="21"/>
                <w:szCs w:val="21"/>
              </w:rPr>
            </w:pPr>
            <w:r>
              <w:rPr>
                <w:snapToGrid w:val="0"/>
                <w:color w:val="auto"/>
                <w:kern w:val="21"/>
                <w:szCs w:val="21"/>
              </w:rPr>
              <w:t>/</w:t>
            </w:r>
          </w:p>
        </w:tc>
        <w:tc>
          <w:tcPr>
            <w:tcW w:w="447" w:type="pct"/>
            <w:vAlign w:val="center"/>
          </w:tcPr>
          <w:p w14:paraId="485F335B">
            <w:pPr>
              <w:adjustRightInd w:val="0"/>
              <w:snapToGrid w:val="0"/>
              <w:jc w:val="center"/>
              <w:rPr>
                <w:snapToGrid w:val="0"/>
                <w:color w:val="auto"/>
                <w:kern w:val="21"/>
                <w:szCs w:val="21"/>
              </w:rPr>
            </w:pPr>
            <w:r>
              <w:rPr>
                <w:snapToGrid w:val="0"/>
                <w:color w:val="auto"/>
                <w:kern w:val="21"/>
                <w:szCs w:val="21"/>
              </w:rPr>
              <w:t>/</w:t>
            </w:r>
          </w:p>
        </w:tc>
        <w:tc>
          <w:tcPr>
            <w:tcW w:w="600" w:type="pct"/>
            <w:vAlign w:val="center"/>
          </w:tcPr>
          <w:p w14:paraId="328F2B82">
            <w:pPr>
              <w:adjustRightInd w:val="0"/>
              <w:snapToGrid w:val="0"/>
              <w:jc w:val="center"/>
              <w:rPr>
                <w:snapToGrid w:val="0"/>
                <w:color w:val="auto"/>
                <w:kern w:val="21"/>
                <w:szCs w:val="21"/>
              </w:rPr>
            </w:pPr>
            <w:r>
              <w:rPr>
                <w:snapToGrid w:val="0"/>
                <w:color w:val="auto"/>
                <w:kern w:val="21"/>
                <w:szCs w:val="21"/>
              </w:rPr>
              <w:t>/</w:t>
            </w:r>
          </w:p>
        </w:tc>
        <w:tc>
          <w:tcPr>
            <w:tcW w:w="548" w:type="pct"/>
            <w:vAlign w:val="center"/>
          </w:tcPr>
          <w:p w14:paraId="4F77D1F3">
            <w:pPr>
              <w:spacing w:line="240" w:lineRule="exact"/>
              <w:jc w:val="center"/>
              <w:rPr>
                <w:color w:val="auto"/>
                <w:szCs w:val="21"/>
              </w:rPr>
            </w:pPr>
            <w:r>
              <w:rPr>
                <w:snapToGrid w:val="0"/>
                <w:color w:val="auto"/>
                <w:kern w:val="0"/>
                <w:szCs w:val="21"/>
              </w:rPr>
              <w:t>0.01</w:t>
            </w:r>
          </w:p>
        </w:tc>
        <w:tc>
          <w:tcPr>
            <w:tcW w:w="622" w:type="pct"/>
            <w:vAlign w:val="center"/>
          </w:tcPr>
          <w:p w14:paraId="2474E7CA">
            <w:pPr>
              <w:jc w:val="center"/>
              <w:rPr>
                <w:snapToGrid w:val="0"/>
                <w:color w:val="auto"/>
                <w:kern w:val="21"/>
                <w:szCs w:val="21"/>
              </w:rPr>
            </w:pPr>
            <w:r>
              <w:rPr>
                <w:snapToGrid w:val="0"/>
                <w:color w:val="auto"/>
                <w:kern w:val="21"/>
                <w:szCs w:val="21"/>
              </w:rPr>
              <w:t>/</w:t>
            </w:r>
          </w:p>
        </w:tc>
        <w:tc>
          <w:tcPr>
            <w:tcW w:w="579" w:type="pct"/>
            <w:vAlign w:val="center"/>
          </w:tcPr>
          <w:p w14:paraId="229CE324">
            <w:pPr>
              <w:spacing w:line="240" w:lineRule="exact"/>
              <w:jc w:val="center"/>
              <w:rPr>
                <w:color w:val="auto"/>
                <w:szCs w:val="21"/>
              </w:rPr>
            </w:pPr>
            <w:r>
              <w:rPr>
                <w:snapToGrid w:val="0"/>
                <w:color w:val="auto"/>
                <w:kern w:val="0"/>
                <w:szCs w:val="21"/>
              </w:rPr>
              <w:t>0.01</w:t>
            </w:r>
          </w:p>
        </w:tc>
        <w:tc>
          <w:tcPr>
            <w:tcW w:w="521" w:type="pct"/>
            <w:vAlign w:val="center"/>
          </w:tcPr>
          <w:p w14:paraId="6E71A728">
            <w:pPr>
              <w:spacing w:line="240" w:lineRule="exact"/>
              <w:jc w:val="center"/>
              <w:rPr>
                <w:color w:val="auto"/>
                <w:szCs w:val="21"/>
              </w:rPr>
            </w:pPr>
            <w:r>
              <w:rPr>
                <w:snapToGrid w:val="0"/>
                <w:color w:val="auto"/>
                <w:kern w:val="0"/>
                <w:szCs w:val="21"/>
              </w:rPr>
              <w:t>+0.01</w:t>
            </w:r>
          </w:p>
        </w:tc>
      </w:tr>
      <w:tr w14:paraId="172C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558" w:type="pct"/>
            <w:vMerge w:val="restart"/>
            <w:vAlign w:val="center"/>
          </w:tcPr>
          <w:p w14:paraId="53D6BEE5">
            <w:pPr>
              <w:adjustRightInd w:val="0"/>
              <w:snapToGrid w:val="0"/>
              <w:jc w:val="center"/>
              <w:rPr>
                <w:rFonts w:hint="default" w:eastAsia="宋体"/>
                <w:snapToGrid w:val="0"/>
                <w:color w:val="auto"/>
                <w:kern w:val="21"/>
                <w:szCs w:val="21"/>
                <w:lang w:val="en-US" w:eastAsia="zh-CN"/>
              </w:rPr>
            </w:pPr>
            <w:r>
              <w:rPr>
                <w:rFonts w:hint="eastAsia"/>
                <w:snapToGrid w:val="0"/>
                <w:color w:val="auto"/>
                <w:kern w:val="21"/>
                <w:szCs w:val="21"/>
                <w:lang w:val="en-US" w:eastAsia="zh-CN"/>
              </w:rPr>
              <w:t>一般固废</w:t>
            </w:r>
          </w:p>
        </w:tc>
        <w:tc>
          <w:tcPr>
            <w:tcW w:w="596" w:type="pct"/>
            <w:gridSpan w:val="2"/>
            <w:vAlign w:val="center"/>
          </w:tcPr>
          <w:p w14:paraId="498D2128">
            <w:pPr>
              <w:spacing w:line="240" w:lineRule="exact"/>
              <w:jc w:val="center"/>
              <w:rPr>
                <w:rFonts w:hint="eastAsia" w:ascii="宋体" w:hAnsi="宋体"/>
                <w:color w:val="auto"/>
                <w:szCs w:val="21"/>
              </w:rPr>
            </w:pPr>
            <w:r>
              <w:rPr>
                <w:rFonts w:hint="eastAsia" w:ascii="宋体" w:hAnsi="宋体"/>
                <w:color w:val="auto"/>
              </w:rPr>
              <w:t>废</w:t>
            </w:r>
            <w:r>
              <w:rPr>
                <w:rFonts w:hint="eastAsia" w:ascii="宋体" w:hAnsi="宋体"/>
                <w:color w:val="auto"/>
                <w:lang w:val="en-US" w:eastAsia="zh-CN"/>
              </w:rPr>
              <w:t>包装袋</w:t>
            </w:r>
          </w:p>
        </w:tc>
        <w:tc>
          <w:tcPr>
            <w:tcW w:w="525" w:type="pct"/>
            <w:vAlign w:val="center"/>
          </w:tcPr>
          <w:p w14:paraId="0FEAC03F">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447" w:type="pct"/>
            <w:vAlign w:val="center"/>
          </w:tcPr>
          <w:p w14:paraId="57D24590">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600" w:type="pct"/>
            <w:vAlign w:val="center"/>
          </w:tcPr>
          <w:p w14:paraId="6135D7EE">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548" w:type="pct"/>
            <w:vAlign w:val="center"/>
          </w:tcPr>
          <w:p w14:paraId="53044686">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0.01</w:t>
            </w:r>
          </w:p>
        </w:tc>
        <w:tc>
          <w:tcPr>
            <w:tcW w:w="622" w:type="pct"/>
            <w:vAlign w:val="center"/>
          </w:tcPr>
          <w:p w14:paraId="559E7A8D">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579" w:type="pct"/>
            <w:vAlign w:val="center"/>
          </w:tcPr>
          <w:p w14:paraId="48548FE0">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0.01</w:t>
            </w:r>
          </w:p>
        </w:tc>
        <w:tc>
          <w:tcPr>
            <w:tcW w:w="521" w:type="pct"/>
            <w:vAlign w:val="center"/>
          </w:tcPr>
          <w:p w14:paraId="747450F1">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+0.01</w:t>
            </w:r>
          </w:p>
        </w:tc>
      </w:tr>
      <w:tr w14:paraId="7D0E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558" w:type="pct"/>
            <w:vAlign w:val="center"/>
          </w:tcPr>
          <w:p w14:paraId="41A66622">
            <w:pPr>
              <w:adjustRightInd w:val="0"/>
              <w:snapToGrid w:val="0"/>
              <w:jc w:val="center"/>
              <w:rPr>
                <w:rFonts w:hint="eastAsia" w:eastAsia="宋体"/>
                <w:snapToGrid w:val="0"/>
                <w:color w:val="auto"/>
                <w:kern w:val="21"/>
                <w:szCs w:val="21"/>
                <w:lang w:val="en-US" w:eastAsia="zh-CN"/>
              </w:rPr>
            </w:pPr>
            <w:r>
              <w:rPr>
                <w:rFonts w:hint="eastAsia"/>
                <w:snapToGrid w:val="0"/>
                <w:color w:val="auto"/>
                <w:kern w:val="21"/>
                <w:szCs w:val="21"/>
                <w:lang w:val="en-US" w:eastAsia="zh-CN"/>
              </w:rPr>
              <w:t>生活垃圾</w:t>
            </w:r>
          </w:p>
        </w:tc>
        <w:tc>
          <w:tcPr>
            <w:tcW w:w="596" w:type="pct"/>
            <w:gridSpan w:val="2"/>
            <w:vAlign w:val="center"/>
          </w:tcPr>
          <w:p w14:paraId="6AC9A907">
            <w:pPr>
              <w:spacing w:line="2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生活垃圾</w:t>
            </w:r>
          </w:p>
        </w:tc>
        <w:tc>
          <w:tcPr>
            <w:tcW w:w="525" w:type="pct"/>
            <w:vAlign w:val="center"/>
          </w:tcPr>
          <w:p w14:paraId="41CAF386">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447" w:type="pct"/>
            <w:vAlign w:val="center"/>
          </w:tcPr>
          <w:p w14:paraId="1EC703DA">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600" w:type="pct"/>
            <w:vAlign w:val="center"/>
          </w:tcPr>
          <w:p w14:paraId="6E21B139">
            <w:pPr>
              <w:adjustRightInd w:val="0"/>
              <w:snapToGrid w:val="0"/>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548" w:type="pct"/>
            <w:vAlign w:val="center"/>
          </w:tcPr>
          <w:p w14:paraId="44CCC203">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1.6</w:t>
            </w:r>
          </w:p>
        </w:tc>
        <w:tc>
          <w:tcPr>
            <w:tcW w:w="622" w:type="pct"/>
            <w:vAlign w:val="center"/>
          </w:tcPr>
          <w:p w14:paraId="3C054180">
            <w:pPr>
              <w:jc w:val="center"/>
              <w:rPr>
                <w:rFonts w:ascii="Times New Roman" w:hAnsi="Times New Roman" w:eastAsia="宋体" w:cs="Times New Roman"/>
                <w:snapToGrid w:val="0"/>
                <w:color w:val="auto"/>
                <w:kern w:val="21"/>
                <w:sz w:val="21"/>
                <w:szCs w:val="21"/>
                <w:lang w:val="en-US" w:eastAsia="zh-CN" w:bidi="ar-SA"/>
              </w:rPr>
            </w:pPr>
            <w:r>
              <w:rPr>
                <w:snapToGrid w:val="0"/>
                <w:color w:val="auto"/>
                <w:kern w:val="21"/>
                <w:szCs w:val="21"/>
              </w:rPr>
              <w:t>/</w:t>
            </w:r>
          </w:p>
        </w:tc>
        <w:tc>
          <w:tcPr>
            <w:tcW w:w="579" w:type="pct"/>
            <w:vAlign w:val="center"/>
          </w:tcPr>
          <w:p w14:paraId="20DAC0D1">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1.6</w:t>
            </w:r>
          </w:p>
        </w:tc>
        <w:tc>
          <w:tcPr>
            <w:tcW w:w="521" w:type="pct"/>
            <w:vAlign w:val="center"/>
          </w:tcPr>
          <w:p w14:paraId="41785CA4">
            <w:pPr>
              <w:spacing w:line="240" w:lineRule="exact"/>
              <w:jc w:val="center"/>
              <w:rPr>
                <w:rFonts w:hint="default" w:eastAsia="宋体"/>
                <w:snapToGrid w:val="0"/>
                <w:color w:val="auto"/>
                <w:kern w:val="0"/>
                <w:szCs w:val="21"/>
                <w:lang w:val="en-US" w:eastAsia="zh-CN"/>
              </w:rPr>
            </w:pPr>
            <w:r>
              <w:rPr>
                <w:rFonts w:hint="eastAsia"/>
                <w:snapToGrid w:val="0"/>
                <w:color w:val="auto"/>
                <w:kern w:val="0"/>
                <w:szCs w:val="21"/>
                <w:lang w:val="en-US" w:eastAsia="zh-CN"/>
              </w:rPr>
              <w:t>+1.6</w:t>
            </w:r>
          </w:p>
        </w:tc>
      </w:tr>
    </w:tbl>
    <w:p w14:paraId="422AA6D6">
      <w:pPr>
        <w:adjustRightInd w:val="0"/>
        <w:snapToGrid w:val="0"/>
        <w:spacing w:before="192" w:beforeLines="80" w:after="24" w:afterLines="10" w:line="259" w:lineRule="auto"/>
        <w:jc w:val="left"/>
        <w:rPr>
          <w:rFonts w:ascii="宋体" w:hAnsi="宋体"/>
          <w:snapToGrid w:val="0"/>
          <w:color w:val="auto"/>
          <w:spacing w:val="-6"/>
          <w:kern w:val="21"/>
          <w:szCs w:val="21"/>
        </w:rPr>
      </w:pPr>
      <w:r>
        <w:rPr>
          <w:rFonts w:ascii="宋体" w:hAnsi="宋体"/>
          <w:snapToGrid w:val="0"/>
          <w:color w:val="auto"/>
          <w:kern w:val="21"/>
          <w:szCs w:val="21"/>
        </w:rPr>
        <w:t>注：</w:t>
      </w:r>
      <w:r>
        <w:rPr>
          <w:rFonts w:ascii="宋体" w:hAnsi="宋体"/>
          <w:snapToGrid w:val="0"/>
          <w:color w:val="auto"/>
          <w:spacing w:val="-16"/>
          <w:kern w:val="21"/>
          <w:szCs w:val="21"/>
        </w:rPr>
        <w:fldChar w:fldCharType="begin"/>
      </w:r>
      <w:r>
        <w:rPr>
          <w:rFonts w:ascii="宋体" w:hAnsi="宋体"/>
          <w:snapToGrid w:val="0"/>
          <w:color w:val="auto"/>
          <w:spacing w:val="-16"/>
          <w:kern w:val="21"/>
          <w:szCs w:val="21"/>
        </w:rPr>
        <w:instrText xml:space="preserve"> = 6 \* GB3 \* MERGEFORMAT </w:instrText>
      </w:r>
      <w:r>
        <w:rPr>
          <w:rFonts w:ascii="宋体" w:hAnsi="宋体"/>
          <w:snapToGrid w:val="0"/>
          <w:color w:val="auto"/>
          <w:spacing w:val="-16"/>
          <w:kern w:val="21"/>
          <w:szCs w:val="21"/>
        </w:rPr>
        <w:fldChar w:fldCharType="separate"/>
      </w:r>
      <w:r>
        <w:rPr>
          <w:rFonts w:hint="eastAsia" w:ascii="宋体" w:hAnsi="宋体"/>
          <w:color w:val="auto"/>
          <w:kern w:val="0"/>
          <w:szCs w:val="21"/>
        </w:rPr>
        <w:t>⑥</w:t>
      </w:r>
      <w:r>
        <w:rPr>
          <w:rFonts w:ascii="宋体" w:hAnsi="宋体"/>
          <w:snapToGrid w:val="0"/>
          <w:color w:val="auto"/>
          <w:spacing w:val="-16"/>
          <w:kern w:val="21"/>
          <w:szCs w:val="21"/>
        </w:rPr>
        <w:fldChar w:fldCharType="end"/>
      </w:r>
      <w:r>
        <w:rPr>
          <w:rFonts w:ascii="宋体" w:hAnsi="宋体"/>
          <w:snapToGrid w:val="0"/>
          <w:color w:val="auto"/>
          <w:spacing w:val="-16"/>
          <w:kern w:val="21"/>
          <w:szCs w:val="21"/>
        </w:rPr>
        <w:t>=</w:t>
      </w:r>
      <w:r>
        <w:rPr>
          <w:rFonts w:ascii="宋体" w:hAnsi="宋体"/>
          <w:snapToGrid w:val="0"/>
          <w:color w:val="auto"/>
          <w:spacing w:val="-6"/>
          <w:kern w:val="21"/>
          <w:szCs w:val="21"/>
        </w:rPr>
        <w:fldChar w:fldCharType="begin"/>
      </w:r>
      <w:r>
        <w:rPr>
          <w:rFonts w:ascii="宋体" w:hAnsi="宋体"/>
          <w:snapToGrid w:val="0"/>
          <w:color w:val="auto"/>
          <w:spacing w:val="-6"/>
          <w:kern w:val="21"/>
          <w:szCs w:val="21"/>
        </w:rPr>
        <w:instrText xml:space="preserve"> = 1 \* GB3 \* MERGEFORMAT </w:instrText>
      </w:r>
      <w:r>
        <w:rPr>
          <w:rFonts w:ascii="宋体" w:hAnsi="宋体"/>
          <w:snapToGrid w:val="0"/>
          <w:color w:val="auto"/>
          <w:spacing w:val="-6"/>
          <w:kern w:val="21"/>
          <w:szCs w:val="21"/>
        </w:rPr>
        <w:fldChar w:fldCharType="separate"/>
      </w:r>
      <w:r>
        <w:rPr>
          <w:rFonts w:hint="eastAsia" w:ascii="宋体" w:hAnsi="宋体"/>
          <w:color w:val="auto"/>
          <w:kern w:val="0"/>
          <w:szCs w:val="21"/>
        </w:rPr>
        <w:t>①</w:t>
      </w:r>
      <w:r>
        <w:rPr>
          <w:rFonts w:ascii="宋体" w:hAnsi="宋体"/>
          <w:snapToGrid w:val="0"/>
          <w:color w:val="auto"/>
          <w:spacing w:val="-6"/>
          <w:kern w:val="21"/>
          <w:szCs w:val="21"/>
        </w:rPr>
        <w:fldChar w:fldCharType="end"/>
      </w:r>
      <w:r>
        <w:rPr>
          <w:rFonts w:ascii="宋体" w:hAnsi="宋体"/>
          <w:snapToGrid w:val="0"/>
          <w:color w:val="auto"/>
          <w:spacing w:val="-6"/>
          <w:kern w:val="21"/>
          <w:szCs w:val="21"/>
        </w:rPr>
        <w:t>+</w:t>
      </w:r>
      <w:r>
        <w:rPr>
          <w:rFonts w:ascii="宋体" w:hAnsi="宋体"/>
          <w:snapToGrid w:val="0"/>
          <w:color w:val="auto"/>
          <w:spacing w:val="-6"/>
          <w:kern w:val="21"/>
          <w:szCs w:val="21"/>
        </w:rPr>
        <w:fldChar w:fldCharType="begin"/>
      </w:r>
      <w:r>
        <w:rPr>
          <w:rFonts w:ascii="宋体" w:hAnsi="宋体"/>
          <w:snapToGrid w:val="0"/>
          <w:color w:val="auto"/>
          <w:spacing w:val="-6"/>
          <w:kern w:val="21"/>
          <w:szCs w:val="21"/>
        </w:rPr>
        <w:instrText xml:space="preserve"> = 3 \* GB3 \* MERGEFORMAT </w:instrText>
      </w:r>
      <w:r>
        <w:rPr>
          <w:rFonts w:ascii="宋体" w:hAnsi="宋体"/>
          <w:snapToGrid w:val="0"/>
          <w:color w:val="auto"/>
          <w:spacing w:val="-6"/>
          <w:kern w:val="21"/>
          <w:szCs w:val="21"/>
        </w:rPr>
        <w:fldChar w:fldCharType="separate"/>
      </w:r>
      <w:r>
        <w:rPr>
          <w:rFonts w:hint="eastAsia" w:ascii="宋体" w:hAnsi="宋体"/>
          <w:color w:val="auto"/>
          <w:kern w:val="0"/>
          <w:szCs w:val="21"/>
        </w:rPr>
        <w:t>③</w:t>
      </w:r>
      <w:r>
        <w:rPr>
          <w:rFonts w:ascii="宋体" w:hAnsi="宋体"/>
          <w:snapToGrid w:val="0"/>
          <w:color w:val="auto"/>
          <w:spacing w:val="-6"/>
          <w:kern w:val="21"/>
          <w:szCs w:val="21"/>
        </w:rPr>
        <w:fldChar w:fldCharType="end"/>
      </w:r>
      <w:r>
        <w:rPr>
          <w:rFonts w:ascii="宋体" w:hAnsi="宋体"/>
          <w:snapToGrid w:val="0"/>
          <w:color w:val="auto"/>
          <w:spacing w:val="-6"/>
          <w:kern w:val="21"/>
          <w:szCs w:val="21"/>
        </w:rPr>
        <w:t>+</w:t>
      </w:r>
      <w:r>
        <w:rPr>
          <w:rFonts w:ascii="宋体" w:hAnsi="宋体"/>
          <w:snapToGrid w:val="0"/>
          <w:color w:val="auto"/>
          <w:spacing w:val="-6"/>
          <w:kern w:val="21"/>
          <w:szCs w:val="21"/>
        </w:rPr>
        <w:fldChar w:fldCharType="begin"/>
      </w:r>
      <w:r>
        <w:rPr>
          <w:rFonts w:ascii="宋体" w:hAnsi="宋体"/>
          <w:snapToGrid w:val="0"/>
          <w:color w:val="auto"/>
          <w:spacing w:val="-6"/>
          <w:kern w:val="21"/>
          <w:szCs w:val="21"/>
        </w:rPr>
        <w:instrText xml:space="preserve"> = 4 \* GB3 \* MERGEFORMAT </w:instrText>
      </w:r>
      <w:r>
        <w:rPr>
          <w:rFonts w:ascii="宋体" w:hAnsi="宋体"/>
          <w:snapToGrid w:val="0"/>
          <w:color w:val="auto"/>
          <w:spacing w:val="-6"/>
          <w:kern w:val="21"/>
          <w:szCs w:val="21"/>
        </w:rPr>
        <w:fldChar w:fldCharType="separate"/>
      </w:r>
      <w:r>
        <w:rPr>
          <w:rFonts w:hint="eastAsia" w:ascii="宋体" w:hAnsi="宋体"/>
          <w:color w:val="auto"/>
          <w:kern w:val="0"/>
          <w:szCs w:val="21"/>
        </w:rPr>
        <w:t>④</w:t>
      </w:r>
      <w:r>
        <w:rPr>
          <w:rFonts w:ascii="宋体" w:hAnsi="宋体"/>
          <w:snapToGrid w:val="0"/>
          <w:color w:val="auto"/>
          <w:spacing w:val="-6"/>
          <w:kern w:val="21"/>
          <w:szCs w:val="21"/>
        </w:rPr>
        <w:fldChar w:fldCharType="end"/>
      </w:r>
      <w:r>
        <w:rPr>
          <w:rFonts w:ascii="宋体" w:hAnsi="宋体"/>
          <w:snapToGrid w:val="0"/>
          <w:color w:val="auto"/>
          <w:spacing w:val="-6"/>
          <w:kern w:val="21"/>
          <w:szCs w:val="21"/>
        </w:rPr>
        <w:t>-</w:t>
      </w:r>
      <w:r>
        <w:rPr>
          <w:rFonts w:ascii="宋体" w:hAnsi="宋体"/>
          <w:snapToGrid w:val="0"/>
          <w:color w:val="auto"/>
          <w:spacing w:val="-16"/>
          <w:kern w:val="21"/>
          <w:szCs w:val="21"/>
        </w:rPr>
        <w:fldChar w:fldCharType="begin"/>
      </w:r>
      <w:r>
        <w:rPr>
          <w:rFonts w:ascii="宋体" w:hAnsi="宋体"/>
          <w:snapToGrid w:val="0"/>
          <w:color w:val="auto"/>
          <w:spacing w:val="-16"/>
          <w:kern w:val="21"/>
          <w:szCs w:val="21"/>
        </w:rPr>
        <w:instrText xml:space="preserve"> = 5 \* GB3 \* MERGEFORMAT </w:instrText>
      </w:r>
      <w:r>
        <w:rPr>
          <w:rFonts w:ascii="宋体" w:hAnsi="宋体"/>
          <w:snapToGrid w:val="0"/>
          <w:color w:val="auto"/>
          <w:spacing w:val="-16"/>
          <w:kern w:val="21"/>
          <w:szCs w:val="21"/>
        </w:rPr>
        <w:fldChar w:fldCharType="separate"/>
      </w:r>
      <w:r>
        <w:rPr>
          <w:rFonts w:hint="eastAsia" w:ascii="宋体" w:hAnsi="宋体"/>
          <w:color w:val="auto"/>
          <w:kern w:val="0"/>
          <w:szCs w:val="21"/>
        </w:rPr>
        <w:t>⑤</w:t>
      </w:r>
      <w:r>
        <w:rPr>
          <w:rFonts w:ascii="宋体" w:hAnsi="宋体"/>
          <w:snapToGrid w:val="0"/>
          <w:color w:val="auto"/>
          <w:spacing w:val="-16"/>
          <w:kern w:val="21"/>
          <w:szCs w:val="21"/>
        </w:rPr>
        <w:fldChar w:fldCharType="end"/>
      </w:r>
      <w:r>
        <w:rPr>
          <w:rFonts w:ascii="宋体" w:hAnsi="宋体"/>
          <w:snapToGrid w:val="0"/>
          <w:color w:val="auto"/>
          <w:spacing w:val="-16"/>
          <w:kern w:val="21"/>
          <w:szCs w:val="21"/>
        </w:rPr>
        <w:t>；</w:t>
      </w:r>
      <w:r>
        <w:rPr>
          <w:rFonts w:ascii="宋体" w:hAnsi="宋体"/>
          <w:snapToGrid w:val="0"/>
          <w:color w:val="auto"/>
          <w:spacing w:val="-6"/>
          <w:kern w:val="21"/>
          <w:szCs w:val="21"/>
        </w:rPr>
        <w:fldChar w:fldCharType="begin"/>
      </w:r>
      <w:r>
        <w:rPr>
          <w:rFonts w:ascii="宋体" w:hAnsi="宋体"/>
          <w:snapToGrid w:val="0"/>
          <w:color w:val="auto"/>
          <w:spacing w:val="-6"/>
          <w:kern w:val="21"/>
          <w:szCs w:val="21"/>
        </w:rPr>
        <w:instrText xml:space="preserve"> = 7 \* GB3 \* MERGEFORMAT </w:instrText>
      </w:r>
      <w:r>
        <w:rPr>
          <w:rFonts w:ascii="宋体" w:hAnsi="宋体"/>
          <w:snapToGrid w:val="0"/>
          <w:color w:val="auto"/>
          <w:spacing w:val="-6"/>
          <w:kern w:val="21"/>
          <w:szCs w:val="21"/>
        </w:rPr>
        <w:fldChar w:fldCharType="separate"/>
      </w:r>
      <w:r>
        <w:rPr>
          <w:rFonts w:hint="eastAsia" w:ascii="宋体" w:hAnsi="宋体"/>
          <w:color w:val="auto"/>
          <w:kern w:val="0"/>
          <w:szCs w:val="21"/>
        </w:rPr>
        <w:t>⑦</w:t>
      </w:r>
      <w:r>
        <w:rPr>
          <w:rFonts w:ascii="宋体" w:hAnsi="宋体"/>
          <w:snapToGrid w:val="0"/>
          <w:color w:val="auto"/>
          <w:spacing w:val="-6"/>
          <w:kern w:val="21"/>
          <w:szCs w:val="21"/>
        </w:rPr>
        <w:fldChar w:fldCharType="end"/>
      </w:r>
      <w:r>
        <w:rPr>
          <w:rFonts w:ascii="宋体" w:hAnsi="宋体"/>
          <w:snapToGrid w:val="0"/>
          <w:color w:val="auto"/>
          <w:spacing w:val="-6"/>
          <w:kern w:val="21"/>
          <w:szCs w:val="21"/>
        </w:rPr>
        <w:t>=</w:t>
      </w:r>
      <w:r>
        <w:rPr>
          <w:rFonts w:ascii="宋体" w:hAnsi="宋体"/>
          <w:snapToGrid w:val="0"/>
          <w:color w:val="auto"/>
          <w:spacing w:val="-16"/>
          <w:kern w:val="21"/>
          <w:szCs w:val="21"/>
        </w:rPr>
        <w:fldChar w:fldCharType="begin"/>
      </w:r>
      <w:r>
        <w:rPr>
          <w:rFonts w:ascii="宋体" w:hAnsi="宋体"/>
          <w:snapToGrid w:val="0"/>
          <w:color w:val="auto"/>
          <w:spacing w:val="-16"/>
          <w:kern w:val="21"/>
          <w:szCs w:val="21"/>
        </w:rPr>
        <w:instrText xml:space="preserve"> = 6 \* GB3 \* MERGEFORMAT </w:instrText>
      </w:r>
      <w:r>
        <w:rPr>
          <w:rFonts w:ascii="宋体" w:hAnsi="宋体"/>
          <w:snapToGrid w:val="0"/>
          <w:color w:val="auto"/>
          <w:spacing w:val="-16"/>
          <w:kern w:val="21"/>
          <w:szCs w:val="21"/>
        </w:rPr>
        <w:fldChar w:fldCharType="separate"/>
      </w:r>
      <w:r>
        <w:rPr>
          <w:rFonts w:hint="eastAsia" w:ascii="宋体" w:hAnsi="宋体"/>
          <w:color w:val="auto"/>
          <w:kern w:val="0"/>
          <w:szCs w:val="21"/>
        </w:rPr>
        <w:t>⑥</w:t>
      </w:r>
      <w:r>
        <w:rPr>
          <w:rFonts w:ascii="宋体" w:hAnsi="宋体"/>
          <w:snapToGrid w:val="0"/>
          <w:color w:val="auto"/>
          <w:spacing w:val="-16"/>
          <w:kern w:val="21"/>
          <w:szCs w:val="21"/>
        </w:rPr>
        <w:fldChar w:fldCharType="end"/>
      </w:r>
      <w:r>
        <w:rPr>
          <w:rFonts w:ascii="宋体" w:hAnsi="宋体"/>
          <w:snapToGrid w:val="0"/>
          <w:color w:val="auto"/>
          <w:spacing w:val="-16"/>
          <w:kern w:val="21"/>
          <w:szCs w:val="21"/>
        </w:rPr>
        <w:t>-</w:t>
      </w:r>
      <w:r>
        <w:rPr>
          <w:rFonts w:ascii="宋体" w:hAnsi="宋体"/>
          <w:snapToGrid w:val="0"/>
          <w:color w:val="auto"/>
          <w:spacing w:val="-6"/>
          <w:kern w:val="21"/>
          <w:szCs w:val="21"/>
        </w:rPr>
        <w:fldChar w:fldCharType="begin"/>
      </w:r>
      <w:r>
        <w:rPr>
          <w:rFonts w:ascii="宋体" w:hAnsi="宋体"/>
          <w:snapToGrid w:val="0"/>
          <w:color w:val="auto"/>
          <w:spacing w:val="-6"/>
          <w:kern w:val="21"/>
          <w:szCs w:val="21"/>
        </w:rPr>
        <w:instrText xml:space="preserve"> = 1 \* GB3 \* MERGEFORMAT </w:instrText>
      </w:r>
      <w:r>
        <w:rPr>
          <w:rFonts w:ascii="宋体" w:hAnsi="宋体"/>
          <w:snapToGrid w:val="0"/>
          <w:color w:val="auto"/>
          <w:spacing w:val="-6"/>
          <w:kern w:val="21"/>
          <w:szCs w:val="21"/>
        </w:rPr>
        <w:fldChar w:fldCharType="separate"/>
      </w:r>
      <w:r>
        <w:rPr>
          <w:rFonts w:hint="eastAsia" w:ascii="宋体" w:hAnsi="宋体"/>
          <w:color w:val="auto"/>
          <w:kern w:val="0"/>
          <w:szCs w:val="21"/>
        </w:rPr>
        <w:t>①</w:t>
      </w:r>
      <w:r>
        <w:rPr>
          <w:rFonts w:ascii="宋体" w:hAnsi="宋体"/>
          <w:snapToGrid w:val="0"/>
          <w:color w:val="auto"/>
          <w:spacing w:val="-6"/>
          <w:kern w:val="21"/>
          <w:szCs w:val="21"/>
        </w:rPr>
        <w:fldChar w:fldCharType="end"/>
      </w:r>
    </w:p>
    <w:p w14:paraId="364BB520">
      <w:pPr>
        <w:rPr>
          <w:color w:val="auto"/>
        </w:rPr>
        <w:sectPr>
          <w:pgSz w:w="16838" w:h="11906" w:orient="landscape"/>
          <w:pgMar w:top="1701" w:right="1531" w:bottom="1701" w:left="1531" w:header="851" w:footer="851" w:gutter="0"/>
          <w:cols w:space="720" w:num="1"/>
          <w:docGrid w:linePitch="312" w:charSpace="0"/>
        </w:sectPr>
      </w:pPr>
    </w:p>
    <w:tbl>
      <w:tblPr>
        <w:tblStyle w:val="2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3"/>
      </w:tblGrid>
      <w:tr w14:paraId="31C4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8" w:hRule="atLeast"/>
          <w:jc w:val="center"/>
        </w:trPr>
        <w:tc>
          <w:tcPr>
            <w:tcW w:w="8983" w:type="dxa"/>
            <w:vAlign w:val="center"/>
          </w:tcPr>
          <w:p w14:paraId="6DCBC41E">
            <w:pPr>
              <w:spacing w:line="580" w:lineRule="exact"/>
              <w:jc w:val="center"/>
              <w:rPr>
                <w:b/>
                <w:bCs/>
                <w:color w:val="auto"/>
                <w:sz w:val="52"/>
                <w:szCs w:val="52"/>
              </w:rPr>
            </w:pPr>
          </w:p>
          <w:p w14:paraId="42F84E42">
            <w:pPr>
              <w:spacing w:line="580" w:lineRule="exact"/>
              <w:jc w:val="center"/>
              <w:rPr>
                <w:b/>
                <w:bCs/>
                <w:color w:val="auto"/>
                <w:kern w:val="0"/>
                <w:sz w:val="52"/>
                <w:szCs w:val="52"/>
              </w:rPr>
            </w:pPr>
            <w:r>
              <w:rPr>
                <w:rFonts w:hint="eastAsia"/>
                <w:b/>
                <w:bCs/>
                <w:color w:val="auto"/>
                <w:sz w:val="52"/>
                <w:szCs w:val="52"/>
              </w:rPr>
              <w:t>附件</w:t>
            </w:r>
          </w:p>
          <w:p w14:paraId="700FC041">
            <w:pPr>
              <w:spacing w:line="580" w:lineRule="exact"/>
              <w:jc w:val="center"/>
              <w:rPr>
                <w:b/>
                <w:bCs/>
                <w:color w:val="auto"/>
                <w:sz w:val="52"/>
                <w:szCs w:val="52"/>
              </w:rPr>
            </w:pPr>
          </w:p>
          <w:p w14:paraId="3C3E9BE4">
            <w:pPr>
              <w:spacing w:before="120" w:after="120"/>
              <w:jc w:val="center"/>
              <w:rPr>
                <w:color w:val="auto"/>
                <w:sz w:val="32"/>
                <w:szCs w:val="32"/>
              </w:rPr>
            </w:pPr>
            <w:r>
              <w:rPr>
                <w:color w:val="auto"/>
                <w:sz w:val="32"/>
                <w:szCs w:val="32"/>
              </w:rPr>
              <w:t>1</w:t>
            </w:r>
            <w:r>
              <w:rPr>
                <w:rFonts w:hint="eastAsia"/>
                <w:color w:val="auto"/>
                <w:sz w:val="32"/>
                <w:szCs w:val="32"/>
              </w:rPr>
              <w:t>、委托书</w:t>
            </w:r>
          </w:p>
          <w:p w14:paraId="173A08A0">
            <w:pPr>
              <w:spacing w:before="120" w:after="120"/>
              <w:jc w:val="center"/>
              <w:rPr>
                <w:rFonts w:hint="default" w:eastAsia="宋体"/>
                <w:color w:val="auto"/>
                <w:sz w:val="32"/>
                <w:szCs w:val="32"/>
                <w:lang w:val="en-US" w:eastAsia="zh-CN"/>
              </w:rPr>
            </w:pPr>
            <w:r>
              <w:rPr>
                <w:color w:val="auto"/>
                <w:sz w:val="32"/>
                <w:szCs w:val="32"/>
              </w:rPr>
              <w:t>2</w:t>
            </w:r>
            <w:r>
              <w:rPr>
                <w:rFonts w:hint="eastAsia"/>
                <w:color w:val="auto"/>
                <w:sz w:val="32"/>
                <w:szCs w:val="32"/>
              </w:rPr>
              <w:t>、</w:t>
            </w:r>
            <w:r>
              <w:rPr>
                <w:rFonts w:hint="eastAsia"/>
                <w:color w:val="auto"/>
                <w:sz w:val="32"/>
                <w:szCs w:val="32"/>
                <w:lang w:val="en-US" w:eastAsia="zh-CN"/>
              </w:rPr>
              <w:t>项目信息登记表</w:t>
            </w:r>
          </w:p>
          <w:p w14:paraId="6AA6119C">
            <w:pPr>
              <w:spacing w:before="120" w:after="120"/>
              <w:jc w:val="center"/>
              <w:rPr>
                <w:rFonts w:hint="eastAsia"/>
                <w:color w:val="auto"/>
                <w:sz w:val="32"/>
                <w:szCs w:val="32"/>
              </w:rPr>
            </w:pPr>
            <w:r>
              <w:rPr>
                <w:rFonts w:hint="eastAsia"/>
                <w:color w:val="auto"/>
                <w:sz w:val="32"/>
                <w:szCs w:val="32"/>
                <w:lang w:val="en-US" w:eastAsia="zh-CN"/>
              </w:rPr>
              <w:t>3</w:t>
            </w:r>
            <w:r>
              <w:rPr>
                <w:rFonts w:hint="eastAsia"/>
                <w:color w:val="auto"/>
                <w:sz w:val="32"/>
                <w:szCs w:val="32"/>
              </w:rPr>
              <w:t>、入园证明</w:t>
            </w:r>
          </w:p>
          <w:p w14:paraId="2113DADF">
            <w:pPr>
              <w:spacing w:before="120" w:after="120"/>
              <w:jc w:val="center"/>
              <w:rPr>
                <w:rFonts w:hint="default"/>
                <w:color w:val="auto"/>
                <w:sz w:val="32"/>
                <w:szCs w:val="32"/>
                <w:lang w:val="en-US" w:eastAsia="zh-CN"/>
              </w:rPr>
            </w:pPr>
            <w:r>
              <w:rPr>
                <w:rFonts w:hint="eastAsia"/>
                <w:color w:val="auto"/>
                <w:sz w:val="32"/>
                <w:szCs w:val="32"/>
                <w:lang w:val="en-US" w:eastAsia="zh-CN"/>
              </w:rPr>
              <w:t>4、园区规划环评批复</w:t>
            </w:r>
          </w:p>
          <w:p w14:paraId="1FD84F74">
            <w:pPr>
              <w:spacing w:before="120" w:after="120"/>
              <w:jc w:val="center"/>
              <w:rPr>
                <w:color w:val="auto"/>
                <w:sz w:val="32"/>
                <w:szCs w:val="32"/>
              </w:rPr>
            </w:pPr>
            <w:r>
              <w:rPr>
                <w:rFonts w:hint="eastAsia"/>
                <w:color w:val="auto"/>
                <w:sz w:val="32"/>
                <w:szCs w:val="32"/>
                <w:lang w:val="en-US" w:eastAsia="zh-CN"/>
              </w:rPr>
              <w:t>5</w:t>
            </w:r>
            <w:r>
              <w:rPr>
                <w:rFonts w:hint="eastAsia"/>
                <w:color w:val="auto"/>
                <w:sz w:val="32"/>
                <w:szCs w:val="32"/>
              </w:rPr>
              <w:t>、租赁合同</w:t>
            </w:r>
          </w:p>
          <w:p w14:paraId="2A9F1F16">
            <w:pPr>
              <w:spacing w:before="120" w:after="120"/>
              <w:jc w:val="center"/>
              <w:rPr>
                <w:rFonts w:hint="eastAsia"/>
                <w:color w:val="auto"/>
                <w:sz w:val="32"/>
                <w:szCs w:val="32"/>
              </w:rPr>
            </w:pPr>
            <w:r>
              <w:rPr>
                <w:rFonts w:hint="eastAsia"/>
                <w:color w:val="auto"/>
                <w:sz w:val="32"/>
                <w:szCs w:val="32"/>
                <w:lang w:val="en-US" w:eastAsia="zh-CN"/>
              </w:rPr>
              <w:t>6</w:t>
            </w:r>
            <w:r>
              <w:rPr>
                <w:rFonts w:hint="eastAsia"/>
                <w:color w:val="auto"/>
                <w:sz w:val="32"/>
                <w:szCs w:val="32"/>
              </w:rPr>
              <w:t>、监测报告</w:t>
            </w:r>
          </w:p>
          <w:p w14:paraId="6B06AB68">
            <w:pPr>
              <w:spacing w:before="120" w:after="120"/>
              <w:jc w:val="center"/>
              <w:rPr>
                <w:color w:val="auto"/>
                <w:sz w:val="32"/>
                <w:szCs w:val="32"/>
              </w:rPr>
            </w:pPr>
            <w:r>
              <w:rPr>
                <w:rFonts w:hint="eastAsia"/>
                <w:color w:val="auto"/>
                <w:sz w:val="32"/>
                <w:szCs w:val="32"/>
                <w:lang w:val="en-US" w:eastAsia="zh-CN"/>
              </w:rPr>
              <w:t>7</w:t>
            </w:r>
            <w:r>
              <w:rPr>
                <w:rFonts w:hint="eastAsia"/>
                <w:color w:val="auto"/>
                <w:sz w:val="32"/>
                <w:szCs w:val="32"/>
              </w:rPr>
              <w:t>、营业执照</w:t>
            </w:r>
          </w:p>
          <w:p w14:paraId="3E92395A">
            <w:pPr>
              <w:spacing w:before="120" w:after="120"/>
              <w:jc w:val="center"/>
              <w:rPr>
                <w:rFonts w:hint="eastAsia"/>
                <w:color w:val="auto"/>
                <w:sz w:val="32"/>
                <w:szCs w:val="32"/>
                <w:lang w:val="en-US" w:eastAsia="zh-CN"/>
              </w:rPr>
            </w:pPr>
            <w:r>
              <w:rPr>
                <w:rFonts w:hint="eastAsia"/>
                <w:color w:val="auto"/>
                <w:sz w:val="32"/>
                <w:szCs w:val="32"/>
                <w:lang w:val="en-US" w:eastAsia="zh-CN"/>
              </w:rPr>
              <w:t>8、碳酸钙MSDS</w:t>
            </w:r>
          </w:p>
          <w:p w14:paraId="2E81CEAD">
            <w:pPr>
              <w:spacing w:before="120" w:after="120"/>
              <w:jc w:val="center"/>
              <w:rPr>
                <w:rFonts w:hint="eastAsia"/>
                <w:color w:val="auto"/>
                <w:sz w:val="32"/>
                <w:szCs w:val="32"/>
                <w:lang w:val="en-US" w:eastAsia="zh-CN"/>
              </w:rPr>
            </w:pPr>
            <w:r>
              <w:rPr>
                <w:rFonts w:hint="eastAsia"/>
                <w:color w:val="auto"/>
                <w:sz w:val="32"/>
                <w:szCs w:val="32"/>
                <w:lang w:val="en-US" w:eastAsia="zh-CN"/>
              </w:rPr>
              <w:t>9、二氧化钛MSDS</w:t>
            </w:r>
          </w:p>
          <w:p w14:paraId="370F5B97">
            <w:pPr>
              <w:spacing w:before="120" w:after="120"/>
              <w:jc w:val="center"/>
              <w:rPr>
                <w:rFonts w:hint="eastAsia" w:eastAsia="宋体"/>
                <w:color w:val="auto"/>
                <w:sz w:val="32"/>
                <w:szCs w:val="32"/>
                <w:lang w:val="en-US" w:eastAsia="zh-CN"/>
              </w:rPr>
            </w:pPr>
            <w:r>
              <w:rPr>
                <w:rFonts w:hint="eastAsia"/>
                <w:color w:val="auto"/>
                <w:sz w:val="32"/>
                <w:szCs w:val="32"/>
                <w:lang w:val="en-US" w:eastAsia="zh-CN"/>
              </w:rPr>
              <w:t>10、二氧化硅MSDS</w:t>
            </w:r>
          </w:p>
          <w:p w14:paraId="2E51C2B4">
            <w:pPr>
              <w:spacing w:before="120" w:after="120" w:line="240" w:lineRule="auto"/>
              <w:jc w:val="center"/>
              <w:rPr>
                <w:rFonts w:hint="eastAsia" w:eastAsia="宋体"/>
                <w:b w:val="0"/>
                <w:bCs w:val="0"/>
                <w:color w:val="000000" w:themeColor="text1"/>
                <w:sz w:val="32"/>
                <w:szCs w:val="32"/>
                <w:lang w:val="en-US" w:eastAsia="zh-CN"/>
                <w14:textFill>
                  <w14:solidFill>
                    <w14:schemeClr w14:val="tx1"/>
                  </w14:solidFill>
                </w14:textFill>
              </w:rPr>
            </w:pPr>
            <w:r>
              <w:rPr>
                <w:rFonts w:hint="eastAsia"/>
                <w:b w:val="0"/>
                <w:bCs w:val="0"/>
                <w:color w:val="000000" w:themeColor="text1"/>
                <w:sz w:val="32"/>
                <w:szCs w:val="32"/>
                <w:lang w:val="en-US" w:eastAsia="zh-CN"/>
                <w14:textFill>
                  <w14:solidFill>
                    <w14:schemeClr w14:val="tx1"/>
                  </w14:solidFill>
                </w14:textFill>
              </w:rPr>
              <w:t>11、企业产品执行标准</w:t>
            </w:r>
          </w:p>
          <w:p w14:paraId="03C06043">
            <w:pPr>
              <w:spacing w:line="580" w:lineRule="exact"/>
              <w:jc w:val="center"/>
              <w:rPr>
                <w:b/>
                <w:bCs/>
                <w:color w:val="auto"/>
                <w:sz w:val="52"/>
                <w:szCs w:val="52"/>
              </w:rPr>
            </w:pPr>
          </w:p>
          <w:p w14:paraId="4F568C6F">
            <w:pPr>
              <w:spacing w:line="580" w:lineRule="exact"/>
              <w:jc w:val="center"/>
              <w:rPr>
                <w:b/>
                <w:bCs/>
                <w:color w:val="auto"/>
                <w:sz w:val="52"/>
                <w:szCs w:val="52"/>
              </w:rPr>
            </w:pPr>
          </w:p>
          <w:p w14:paraId="0EDC6EAA">
            <w:pPr>
              <w:spacing w:line="580" w:lineRule="exact"/>
              <w:jc w:val="center"/>
              <w:rPr>
                <w:b/>
                <w:bCs/>
                <w:color w:val="auto"/>
                <w:sz w:val="52"/>
                <w:szCs w:val="52"/>
              </w:rPr>
            </w:pPr>
          </w:p>
          <w:p w14:paraId="7A560B45">
            <w:pPr>
              <w:spacing w:line="580" w:lineRule="exact"/>
              <w:jc w:val="center"/>
              <w:rPr>
                <w:b/>
                <w:bCs/>
                <w:color w:val="auto"/>
                <w:sz w:val="52"/>
                <w:szCs w:val="52"/>
              </w:rPr>
            </w:pPr>
          </w:p>
          <w:p w14:paraId="679BA474">
            <w:pPr>
              <w:pStyle w:val="5"/>
              <w:rPr>
                <w:color w:val="auto"/>
              </w:rPr>
            </w:pPr>
          </w:p>
          <w:p w14:paraId="363E4216">
            <w:pPr>
              <w:spacing w:line="580" w:lineRule="exact"/>
              <w:jc w:val="center"/>
              <w:rPr>
                <w:b/>
                <w:bCs/>
                <w:color w:val="auto"/>
                <w:sz w:val="52"/>
                <w:szCs w:val="52"/>
              </w:rPr>
            </w:pPr>
            <w:r>
              <w:rPr>
                <w:rFonts w:hint="eastAsia"/>
                <w:b/>
                <w:bCs/>
                <w:color w:val="auto"/>
                <w:sz w:val="52"/>
                <w:szCs w:val="52"/>
              </w:rPr>
              <w:t>附图</w:t>
            </w:r>
          </w:p>
          <w:p w14:paraId="7071F2A5">
            <w:pPr>
              <w:spacing w:line="580" w:lineRule="exact"/>
              <w:jc w:val="center"/>
              <w:rPr>
                <w:b/>
                <w:bCs/>
                <w:color w:val="auto"/>
                <w:sz w:val="52"/>
                <w:szCs w:val="52"/>
              </w:rPr>
            </w:pPr>
          </w:p>
          <w:p w14:paraId="45ECD5A2">
            <w:pPr>
              <w:numPr>
                <w:ilvl w:val="0"/>
                <w:numId w:val="0"/>
              </w:numPr>
              <w:spacing w:before="120" w:after="120"/>
              <w:jc w:val="center"/>
              <w:rPr>
                <w:rFonts w:hint="eastAsia"/>
                <w:color w:val="auto"/>
                <w:sz w:val="32"/>
                <w:szCs w:val="32"/>
              </w:rPr>
            </w:pPr>
            <w:r>
              <w:rPr>
                <w:rFonts w:hint="eastAsia"/>
                <w:color w:val="auto"/>
                <w:sz w:val="32"/>
                <w:szCs w:val="32"/>
                <w:lang w:val="en-US" w:eastAsia="zh-CN"/>
              </w:rPr>
              <w:t>1、</w:t>
            </w:r>
            <w:r>
              <w:rPr>
                <w:rFonts w:hint="eastAsia"/>
                <w:color w:val="auto"/>
                <w:sz w:val="32"/>
                <w:szCs w:val="32"/>
              </w:rPr>
              <w:t>项目地理位置图</w:t>
            </w:r>
          </w:p>
          <w:p w14:paraId="71C4FF59">
            <w:pPr>
              <w:numPr>
                <w:ilvl w:val="0"/>
                <w:numId w:val="0"/>
              </w:numPr>
              <w:spacing w:before="120" w:after="120"/>
              <w:jc w:val="center"/>
              <w:rPr>
                <w:rFonts w:hint="eastAsia"/>
                <w:color w:val="auto"/>
                <w:sz w:val="32"/>
                <w:szCs w:val="32"/>
              </w:rPr>
            </w:pPr>
            <w:r>
              <w:rPr>
                <w:rFonts w:hint="eastAsia"/>
                <w:color w:val="auto"/>
                <w:sz w:val="32"/>
                <w:szCs w:val="32"/>
                <w:lang w:val="en-US" w:eastAsia="zh-CN"/>
              </w:rPr>
              <w:t>2、</w:t>
            </w:r>
            <w:r>
              <w:rPr>
                <w:rFonts w:hint="eastAsia"/>
                <w:color w:val="auto"/>
                <w:sz w:val="32"/>
                <w:szCs w:val="32"/>
              </w:rPr>
              <w:t>本项目在规划中的位置示意图</w:t>
            </w:r>
          </w:p>
          <w:p w14:paraId="59379BB7">
            <w:pPr>
              <w:numPr>
                <w:ilvl w:val="0"/>
                <w:numId w:val="0"/>
              </w:numPr>
              <w:spacing w:before="120" w:after="120"/>
              <w:jc w:val="center"/>
              <w:rPr>
                <w:color w:val="auto"/>
                <w:sz w:val="32"/>
                <w:szCs w:val="32"/>
              </w:rPr>
            </w:pPr>
            <w:r>
              <w:rPr>
                <w:rFonts w:hint="eastAsia"/>
                <w:color w:val="auto"/>
                <w:sz w:val="32"/>
                <w:szCs w:val="32"/>
                <w:lang w:val="en-US" w:eastAsia="zh-CN"/>
              </w:rPr>
              <w:t>3、</w:t>
            </w:r>
            <w:r>
              <w:rPr>
                <w:rFonts w:hint="eastAsia"/>
                <w:color w:val="auto"/>
                <w:sz w:val="32"/>
                <w:szCs w:val="32"/>
              </w:rPr>
              <w:t>项目与生态红线位置关系图</w:t>
            </w:r>
          </w:p>
          <w:p w14:paraId="23410FF9">
            <w:pPr>
              <w:spacing w:before="120" w:after="120"/>
              <w:jc w:val="center"/>
              <w:rPr>
                <w:rFonts w:hint="eastAsia"/>
                <w:color w:val="auto"/>
                <w:sz w:val="32"/>
                <w:szCs w:val="32"/>
              </w:rPr>
            </w:pPr>
            <w:r>
              <w:rPr>
                <w:rFonts w:hint="eastAsia"/>
                <w:color w:val="auto"/>
                <w:sz w:val="32"/>
                <w:szCs w:val="32"/>
                <w:lang w:val="en-US" w:eastAsia="zh-CN"/>
              </w:rPr>
              <w:t>4-1</w:t>
            </w:r>
            <w:r>
              <w:rPr>
                <w:rFonts w:hint="eastAsia"/>
                <w:color w:val="auto"/>
                <w:sz w:val="32"/>
                <w:szCs w:val="32"/>
              </w:rPr>
              <w:t>、厂区平面布置图</w:t>
            </w:r>
          </w:p>
          <w:p w14:paraId="5DED4592">
            <w:pPr>
              <w:spacing w:before="120" w:after="120"/>
              <w:jc w:val="center"/>
              <w:rPr>
                <w:rFonts w:hint="eastAsia"/>
                <w:color w:val="auto"/>
                <w:sz w:val="32"/>
                <w:szCs w:val="32"/>
                <w:lang w:val="en-US" w:eastAsia="zh-CN"/>
              </w:rPr>
            </w:pPr>
            <w:r>
              <w:rPr>
                <w:rFonts w:hint="eastAsia"/>
                <w:color w:val="auto"/>
                <w:sz w:val="32"/>
                <w:szCs w:val="32"/>
                <w:lang w:val="en-US" w:eastAsia="zh-CN"/>
              </w:rPr>
              <w:t>4-2、车间平面布置图</w:t>
            </w:r>
          </w:p>
          <w:p w14:paraId="157C75DA">
            <w:pPr>
              <w:spacing w:before="120" w:after="120"/>
              <w:jc w:val="center"/>
              <w:rPr>
                <w:rFonts w:hint="eastAsia"/>
                <w:color w:val="auto"/>
                <w:sz w:val="32"/>
                <w:szCs w:val="32"/>
              </w:rPr>
            </w:pPr>
            <w:r>
              <w:rPr>
                <w:rFonts w:hint="eastAsia"/>
                <w:color w:val="auto"/>
                <w:sz w:val="32"/>
                <w:szCs w:val="32"/>
                <w:lang w:val="en-US" w:eastAsia="zh-CN"/>
              </w:rPr>
              <w:t>5</w:t>
            </w:r>
            <w:r>
              <w:rPr>
                <w:rFonts w:hint="eastAsia"/>
                <w:color w:val="auto"/>
                <w:sz w:val="32"/>
                <w:szCs w:val="32"/>
              </w:rPr>
              <w:t>、环境保护目标图</w:t>
            </w:r>
          </w:p>
          <w:p w14:paraId="0296A329">
            <w:pPr>
              <w:spacing w:before="120" w:after="120"/>
              <w:jc w:val="center"/>
              <w:rPr>
                <w:rFonts w:hint="eastAsia"/>
                <w:color w:val="auto"/>
                <w:sz w:val="32"/>
                <w:szCs w:val="32"/>
                <w:lang w:val="en-US" w:eastAsia="zh-CN"/>
              </w:rPr>
            </w:pPr>
            <w:r>
              <w:rPr>
                <w:rFonts w:hint="eastAsia"/>
                <w:color w:val="auto"/>
                <w:sz w:val="32"/>
                <w:szCs w:val="32"/>
                <w:lang w:val="en-US" w:eastAsia="zh-CN"/>
              </w:rPr>
              <w:t>6</w:t>
            </w:r>
            <w:r>
              <w:rPr>
                <w:rFonts w:hint="eastAsia"/>
                <w:color w:val="auto"/>
                <w:sz w:val="32"/>
                <w:szCs w:val="32"/>
              </w:rPr>
              <w:t>、</w:t>
            </w:r>
            <w:bookmarkStart w:id="13" w:name="_Hlk102135937"/>
            <w:r>
              <w:rPr>
                <w:rFonts w:hint="eastAsia"/>
                <w:color w:val="auto"/>
                <w:sz w:val="32"/>
                <w:szCs w:val="32"/>
              </w:rPr>
              <w:t>厂区分区防渗图</w:t>
            </w:r>
            <w:bookmarkEnd w:id="13"/>
          </w:p>
          <w:p w14:paraId="247C2327">
            <w:pPr>
              <w:spacing w:before="120" w:after="120"/>
              <w:jc w:val="center"/>
              <w:rPr>
                <w:rFonts w:hint="default"/>
                <w:color w:val="auto"/>
                <w:sz w:val="32"/>
                <w:szCs w:val="32"/>
                <w:lang w:val="en-US" w:eastAsia="zh-CN"/>
              </w:rPr>
            </w:pPr>
            <w:r>
              <w:rPr>
                <w:rFonts w:hint="eastAsia"/>
                <w:color w:val="auto"/>
                <w:sz w:val="32"/>
                <w:szCs w:val="32"/>
                <w:lang w:val="en-US" w:eastAsia="zh-CN"/>
              </w:rPr>
              <w:t>7、周边关系图</w:t>
            </w:r>
          </w:p>
          <w:p w14:paraId="1656ACEC">
            <w:pPr>
              <w:spacing w:before="120" w:after="120"/>
              <w:jc w:val="center"/>
              <w:rPr>
                <w:rFonts w:hint="default"/>
                <w:color w:val="auto"/>
                <w:sz w:val="32"/>
                <w:szCs w:val="32"/>
                <w:lang w:val="en-US" w:eastAsia="zh-CN"/>
              </w:rPr>
            </w:pPr>
            <w:r>
              <w:rPr>
                <w:rFonts w:hint="eastAsia"/>
                <w:color w:val="auto"/>
                <w:sz w:val="32"/>
                <w:szCs w:val="32"/>
                <w:lang w:val="en-US" w:eastAsia="zh-CN"/>
              </w:rPr>
              <w:t>8、三线一单位置图</w:t>
            </w:r>
          </w:p>
          <w:p w14:paraId="2C539FA5">
            <w:pPr>
              <w:spacing w:before="120" w:after="120"/>
              <w:ind w:firstLine="2400" w:firstLineChars="750"/>
              <w:jc w:val="left"/>
              <w:rPr>
                <w:color w:val="auto"/>
                <w:sz w:val="32"/>
                <w:szCs w:val="32"/>
              </w:rPr>
            </w:pPr>
          </w:p>
        </w:tc>
      </w:tr>
    </w:tbl>
    <w:p w14:paraId="4D137E54">
      <w:pPr>
        <w:spacing w:line="20" w:lineRule="exact"/>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7FC6">
    <w:pPr>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28D0">
    <w:pPr>
      <w:framePr w:wrap="around" w:vAnchor="text" w:hAnchor="margin" w:xAlign="center" w:y="1"/>
    </w:pPr>
    <w:r>
      <w:fldChar w:fldCharType="begin"/>
    </w:r>
    <w:r>
      <w:instrText xml:space="preserve">PAGE  </w:instrText>
    </w:r>
    <w:r>
      <w:fldChar w:fldCharType="end"/>
    </w:r>
  </w:p>
  <w:p w14:paraId="0E26F659">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2DE3">
    <w:pPr>
      <w:jc w:val="center"/>
    </w:pPr>
    <w:r>
      <w:t>-</w:t>
    </w:r>
    <w:r>
      <w:fldChar w:fldCharType="begin"/>
    </w:r>
    <w:r>
      <w:instrText xml:space="preserve">PAGE   \* MERGEFORMAT</w:instrText>
    </w:r>
    <w:r>
      <w:fldChar w:fldCharType="separate"/>
    </w:r>
    <w:r>
      <w:rPr>
        <w:lang w:val="zh-CN"/>
      </w:rPr>
      <w:t>22</w:t>
    </w:r>
    <w:r>
      <w:fldChar w:fldCharType="end"/>
    </w:r>
    <w: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EDE4">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71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D38754"/>
    <w:multiLevelType w:val="singleLevel"/>
    <w:tmpl w:val="0CD38754"/>
    <w:lvl w:ilvl="0" w:tentative="0">
      <w:start w:val="2"/>
      <w:numFmt w:val="decimal"/>
      <w:suff w:val="nothing"/>
      <w:lvlText w:val="%1、"/>
      <w:lvlJc w:val="left"/>
    </w:lvl>
  </w:abstractNum>
  <w:abstractNum w:abstractNumId="1">
    <w:nsid w:val="7327BB9F"/>
    <w:multiLevelType w:val="singleLevel"/>
    <w:tmpl w:val="7327BB9F"/>
    <w:lvl w:ilvl="0" w:tentative="0">
      <w:start w:val="1"/>
      <w:numFmt w:val="decimal"/>
      <w:suff w:val="nothing"/>
      <w:lvlText w:val="（%1）"/>
      <w:lvlJc w:val="left"/>
    </w:lvl>
  </w:abstractNum>
  <w:abstractNum w:abstractNumId="2">
    <w:nsid w:val="7DF85961"/>
    <w:multiLevelType w:val="multilevel"/>
    <w:tmpl w:val="7DF85961"/>
    <w:lvl w:ilvl="0" w:tentative="0">
      <w:start w:val="1"/>
      <w:numFmt w:val="japaneseCounting"/>
      <w:pStyle w:val="6"/>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DF0086"/>
    <w:rsid w:val="000029F4"/>
    <w:rsid w:val="000047E3"/>
    <w:rsid w:val="00006E8A"/>
    <w:rsid w:val="00010A75"/>
    <w:rsid w:val="00010E2F"/>
    <w:rsid w:val="00012159"/>
    <w:rsid w:val="000146C5"/>
    <w:rsid w:val="00014FE7"/>
    <w:rsid w:val="00015E2A"/>
    <w:rsid w:val="000173D0"/>
    <w:rsid w:val="00017751"/>
    <w:rsid w:val="00020065"/>
    <w:rsid w:val="00020D70"/>
    <w:rsid w:val="00021F02"/>
    <w:rsid w:val="000228C9"/>
    <w:rsid w:val="00024EC5"/>
    <w:rsid w:val="00025823"/>
    <w:rsid w:val="0002743F"/>
    <w:rsid w:val="000344BC"/>
    <w:rsid w:val="000345B5"/>
    <w:rsid w:val="00035CDF"/>
    <w:rsid w:val="00040353"/>
    <w:rsid w:val="00043C44"/>
    <w:rsid w:val="0004606C"/>
    <w:rsid w:val="000504D0"/>
    <w:rsid w:val="00052051"/>
    <w:rsid w:val="00053304"/>
    <w:rsid w:val="000548FC"/>
    <w:rsid w:val="0005582F"/>
    <w:rsid w:val="00056D6A"/>
    <w:rsid w:val="00056E69"/>
    <w:rsid w:val="00056F6C"/>
    <w:rsid w:val="0007183C"/>
    <w:rsid w:val="000731F7"/>
    <w:rsid w:val="00073392"/>
    <w:rsid w:val="00080F8C"/>
    <w:rsid w:val="000843CD"/>
    <w:rsid w:val="00085F96"/>
    <w:rsid w:val="00086774"/>
    <w:rsid w:val="0008731E"/>
    <w:rsid w:val="00090099"/>
    <w:rsid w:val="0009200A"/>
    <w:rsid w:val="00092F88"/>
    <w:rsid w:val="00094AD0"/>
    <w:rsid w:val="0009762F"/>
    <w:rsid w:val="000A1700"/>
    <w:rsid w:val="000A1A92"/>
    <w:rsid w:val="000A3299"/>
    <w:rsid w:val="000A6171"/>
    <w:rsid w:val="000A65BC"/>
    <w:rsid w:val="000A6F8D"/>
    <w:rsid w:val="000B026B"/>
    <w:rsid w:val="000B0F35"/>
    <w:rsid w:val="000B1086"/>
    <w:rsid w:val="000B29AA"/>
    <w:rsid w:val="000B3034"/>
    <w:rsid w:val="000B39C8"/>
    <w:rsid w:val="000C2738"/>
    <w:rsid w:val="000C2F47"/>
    <w:rsid w:val="000C3D1B"/>
    <w:rsid w:val="000C49C3"/>
    <w:rsid w:val="000C5634"/>
    <w:rsid w:val="000C5CE1"/>
    <w:rsid w:val="000C7AFE"/>
    <w:rsid w:val="000D785E"/>
    <w:rsid w:val="000D7C47"/>
    <w:rsid w:val="000E1CB8"/>
    <w:rsid w:val="000E2A24"/>
    <w:rsid w:val="000E2B4E"/>
    <w:rsid w:val="000E3012"/>
    <w:rsid w:val="000E4618"/>
    <w:rsid w:val="000E6BD6"/>
    <w:rsid w:val="000F03D5"/>
    <w:rsid w:val="000F13C0"/>
    <w:rsid w:val="000F3DED"/>
    <w:rsid w:val="000F4DAA"/>
    <w:rsid w:val="000F5046"/>
    <w:rsid w:val="000F55AC"/>
    <w:rsid w:val="000F6F05"/>
    <w:rsid w:val="000F7812"/>
    <w:rsid w:val="000F7816"/>
    <w:rsid w:val="000F7818"/>
    <w:rsid w:val="0010056F"/>
    <w:rsid w:val="00100880"/>
    <w:rsid w:val="00100AA8"/>
    <w:rsid w:val="00101A09"/>
    <w:rsid w:val="00102854"/>
    <w:rsid w:val="001033D7"/>
    <w:rsid w:val="00103BBE"/>
    <w:rsid w:val="0010422E"/>
    <w:rsid w:val="001059EF"/>
    <w:rsid w:val="00105E01"/>
    <w:rsid w:val="00106322"/>
    <w:rsid w:val="00107D92"/>
    <w:rsid w:val="0011256D"/>
    <w:rsid w:val="00113896"/>
    <w:rsid w:val="00114329"/>
    <w:rsid w:val="0011616F"/>
    <w:rsid w:val="0011758E"/>
    <w:rsid w:val="00117D52"/>
    <w:rsid w:val="00124AE2"/>
    <w:rsid w:val="0012677C"/>
    <w:rsid w:val="0013048F"/>
    <w:rsid w:val="001311B5"/>
    <w:rsid w:val="001312DC"/>
    <w:rsid w:val="00136254"/>
    <w:rsid w:val="00136265"/>
    <w:rsid w:val="0013681A"/>
    <w:rsid w:val="00137B45"/>
    <w:rsid w:val="00142EB0"/>
    <w:rsid w:val="00143456"/>
    <w:rsid w:val="001476D6"/>
    <w:rsid w:val="001501E4"/>
    <w:rsid w:val="0015120D"/>
    <w:rsid w:val="00151DE3"/>
    <w:rsid w:val="00153588"/>
    <w:rsid w:val="00154799"/>
    <w:rsid w:val="00155F87"/>
    <w:rsid w:val="00157ED0"/>
    <w:rsid w:val="00161692"/>
    <w:rsid w:val="001617C7"/>
    <w:rsid w:val="00161C1C"/>
    <w:rsid w:val="00163BCD"/>
    <w:rsid w:val="00164CD7"/>
    <w:rsid w:val="001737DD"/>
    <w:rsid w:val="001739D6"/>
    <w:rsid w:val="00176949"/>
    <w:rsid w:val="001823CC"/>
    <w:rsid w:val="001825FC"/>
    <w:rsid w:val="0018279F"/>
    <w:rsid w:val="001828CD"/>
    <w:rsid w:val="00182B5B"/>
    <w:rsid w:val="0019125B"/>
    <w:rsid w:val="001949DC"/>
    <w:rsid w:val="0019550A"/>
    <w:rsid w:val="001962DF"/>
    <w:rsid w:val="00196425"/>
    <w:rsid w:val="0019784C"/>
    <w:rsid w:val="001A003F"/>
    <w:rsid w:val="001A19F9"/>
    <w:rsid w:val="001A24DC"/>
    <w:rsid w:val="001A35AD"/>
    <w:rsid w:val="001A3B09"/>
    <w:rsid w:val="001A3D91"/>
    <w:rsid w:val="001A45F5"/>
    <w:rsid w:val="001A516F"/>
    <w:rsid w:val="001A5637"/>
    <w:rsid w:val="001A5BFC"/>
    <w:rsid w:val="001A78A7"/>
    <w:rsid w:val="001B0322"/>
    <w:rsid w:val="001B07BA"/>
    <w:rsid w:val="001B2ED2"/>
    <w:rsid w:val="001B4A4B"/>
    <w:rsid w:val="001C00F2"/>
    <w:rsid w:val="001C1D4E"/>
    <w:rsid w:val="001C2526"/>
    <w:rsid w:val="001C391A"/>
    <w:rsid w:val="001D203C"/>
    <w:rsid w:val="001D4299"/>
    <w:rsid w:val="001D494E"/>
    <w:rsid w:val="001D535D"/>
    <w:rsid w:val="001E225E"/>
    <w:rsid w:val="001E338E"/>
    <w:rsid w:val="001E6CD5"/>
    <w:rsid w:val="001F0494"/>
    <w:rsid w:val="001F158A"/>
    <w:rsid w:val="001F343E"/>
    <w:rsid w:val="001F4E65"/>
    <w:rsid w:val="001F6EB9"/>
    <w:rsid w:val="001F7110"/>
    <w:rsid w:val="002078F1"/>
    <w:rsid w:val="00210831"/>
    <w:rsid w:val="002118EC"/>
    <w:rsid w:val="00212606"/>
    <w:rsid w:val="002148E3"/>
    <w:rsid w:val="00214F87"/>
    <w:rsid w:val="0021666F"/>
    <w:rsid w:val="00216E1E"/>
    <w:rsid w:val="00222B05"/>
    <w:rsid w:val="00224E51"/>
    <w:rsid w:val="002344B2"/>
    <w:rsid w:val="00234755"/>
    <w:rsid w:val="00234B4E"/>
    <w:rsid w:val="0023696E"/>
    <w:rsid w:val="00236FBC"/>
    <w:rsid w:val="00242D81"/>
    <w:rsid w:val="00245396"/>
    <w:rsid w:val="002459DA"/>
    <w:rsid w:val="002460D2"/>
    <w:rsid w:val="00246482"/>
    <w:rsid w:val="002469CC"/>
    <w:rsid w:val="00247C63"/>
    <w:rsid w:val="00250862"/>
    <w:rsid w:val="00254D0D"/>
    <w:rsid w:val="00256860"/>
    <w:rsid w:val="00257F46"/>
    <w:rsid w:val="0026048B"/>
    <w:rsid w:val="00260E28"/>
    <w:rsid w:val="00264502"/>
    <w:rsid w:val="00271325"/>
    <w:rsid w:val="00272E37"/>
    <w:rsid w:val="00274C82"/>
    <w:rsid w:val="002764B2"/>
    <w:rsid w:val="0028260F"/>
    <w:rsid w:val="00285F31"/>
    <w:rsid w:val="002863DA"/>
    <w:rsid w:val="00290B42"/>
    <w:rsid w:val="00294199"/>
    <w:rsid w:val="002A0393"/>
    <w:rsid w:val="002A5A67"/>
    <w:rsid w:val="002B1A12"/>
    <w:rsid w:val="002B21A9"/>
    <w:rsid w:val="002B310C"/>
    <w:rsid w:val="002B4222"/>
    <w:rsid w:val="002C343D"/>
    <w:rsid w:val="002C6FC6"/>
    <w:rsid w:val="002C73EE"/>
    <w:rsid w:val="002C758F"/>
    <w:rsid w:val="002C7655"/>
    <w:rsid w:val="002D3600"/>
    <w:rsid w:val="002D3E9A"/>
    <w:rsid w:val="002D4E88"/>
    <w:rsid w:val="002D5919"/>
    <w:rsid w:val="002D611E"/>
    <w:rsid w:val="002D6930"/>
    <w:rsid w:val="002D7CB0"/>
    <w:rsid w:val="002E34C1"/>
    <w:rsid w:val="002E43E2"/>
    <w:rsid w:val="002E73E9"/>
    <w:rsid w:val="002F1425"/>
    <w:rsid w:val="002F1688"/>
    <w:rsid w:val="002F32A3"/>
    <w:rsid w:val="002F56A8"/>
    <w:rsid w:val="002F6D4C"/>
    <w:rsid w:val="002F7035"/>
    <w:rsid w:val="002F7B21"/>
    <w:rsid w:val="003008D7"/>
    <w:rsid w:val="00304374"/>
    <w:rsid w:val="0030738B"/>
    <w:rsid w:val="003077A3"/>
    <w:rsid w:val="00307BB9"/>
    <w:rsid w:val="00310CB4"/>
    <w:rsid w:val="00312B49"/>
    <w:rsid w:val="003132EB"/>
    <w:rsid w:val="00316AC1"/>
    <w:rsid w:val="003238A1"/>
    <w:rsid w:val="00324176"/>
    <w:rsid w:val="00330220"/>
    <w:rsid w:val="0033355B"/>
    <w:rsid w:val="00337627"/>
    <w:rsid w:val="0034038F"/>
    <w:rsid w:val="003455A0"/>
    <w:rsid w:val="0034669B"/>
    <w:rsid w:val="003515E4"/>
    <w:rsid w:val="00352419"/>
    <w:rsid w:val="003538C7"/>
    <w:rsid w:val="00353DCB"/>
    <w:rsid w:val="00354741"/>
    <w:rsid w:val="00354933"/>
    <w:rsid w:val="003567B2"/>
    <w:rsid w:val="00365371"/>
    <w:rsid w:val="003653AF"/>
    <w:rsid w:val="00366EAD"/>
    <w:rsid w:val="00371782"/>
    <w:rsid w:val="00371BEF"/>
    <w:rsid w:val="00371DAB"/>
    <w:rsid w:val="00372C0A"/>
    <w:rsid w:val="003745EA"/>
    <w:rsid w:val="003776EC"/>
    <w:rsid w:val="003801A7"/>
    <w:rsid w:val="00381B88"/>
    <w:rsid w:val="003821F7"/>
    <w:rsid w:val="003824AF"/>
    <w:rsid w:val="00382BCB"/>
    <w:rsid w:val="00382E75"/>
    <w:rsid w:val="0038317A"/>
    <w:rsid w:val="00384786"/>
    <w:rsid w:val="00386472"/>
    <w:rsid w:val="003872BE"/>
    <w:rsid w:val="0039603C"/>
    <w:rsid w:val="00396683"/>
    <w:rsid w:val="0039762A"/>
    <w:rsid w:val="003A1637"/>
    <w:rsid w:val="003A38FE"/>
    <w:rsid w:val="003A3D40"/>
    <w:rsid w:val="003A5A49"/>
    <w:rsid w:val="003B0505"/>
    <w:rsid w:val="003B4DDB"/>
    <w:rsid w:val="003B650C"/>
    <w:rsid w:val="003B6844"/>
    <w:rsid w:val="003B7022"/>
    <w:rsid w:val="003C065B"/>
    <w:rsid w:val="003C226D"/>
    <w:rsid w:val="003C6F21"/>
    <w:rsid w:val="003D0702"/>
    <w:rsid w:val="003D3705"/>
    <w:rsid w:val="003D7230"/>
    <w:rsid w:val="003E041E"/>
    <w:rsid w:val="003E2949"/>
    <w:rsid w:val="003E3E7A"/>
    <w:rsid w:val="003E450C"/>
    <w:rsid w:val="003E5678"/>
    <w:rsid w:val="003E590D"/>
    <w:rsid w:val="003E7317"/>
    <w:rsid w:val="003E7492"/>
    <w:rsid w:val="003F2186"/>
    <w:rsid w:val="003F483D"/>
    <w:rsid w:val="003F68BE"/>
    <w:rsid w:val="003F7233"/>
    <w:rsid w:val="0040033F"/>
    <w:rsid w:val="004012AF"/>
    <w:rsid w:val="00401817"/>
    <w:rsid w:val="004025DA"/>
    <w:rsid w:val="0040514A"/>
    <w:rsid w:val="00410F94"/>
    <w:rsid w:val="00413499"/>
    <w:rsid w:val="00414CA0"/>
    <w:rsid w:val="00416493"/>
    <w:rsid w:val="00417422"/>
    <w:rsid w:val="00417D39"/>
    <w:rsid w:val="00420A07"/>
    <w:rsid w:val="00421D24"/>
    <w:rsid w:val="004221A4"/>
    <w:rsid w:val="00430071"/>
    <w:rsid w:val="00430542"/>
    <w:rsid w:val="004312D1"/>
    <w:rsid w:val="00435067"/>
    <w:rsid w:val="0043616E"/>
    <w:rsid w:val="0044149E"/>
    <w:rsid w:val="004454F5"/>
    <w:rsid w:val="00447F66"/>
    <w:rsid w:val="00447F8A"/>
    <w:rsid w:val="00450D68"/>
    <w:rsid w:val="00452597"/>
    <w:rsid w:val="0045433B"/>
    <w:rsid w:val="004558DF"/>
    <w:rsid w:val="004563DE"/>
    <w:rsid w:val="00457F44"/>
    <w:rsid w:val="0046153F"/>
    <w:rsid w:val="0046301F"/>
    <w:rsid w:val="0046315B"/>
    <w:rsid w:val="00464CF1"/>
    <w:rsid w:val="00466F72"/>
    <w:rsid w:val="00470D53"/>
    <w:rsid w:val="004717FA"/>
    <w:rsid w:val="004739D1"/>
    <w:rsid w:val="004753E2"/>
    <w:rsid w:val="00475D7A"/>
    <w:rsid w:val="004827E1"/>
    <w:rsid w:val="00490689"/>
    <w:rsid w:val="00491019"/>
    <w:rsid w:val="00492827"/>
    <w:rsid w:val="0049522A"/>
    <w:rsid w:val="004A26D1"/>
    <w:rsid w:val="004A4D01"/>
    <w:rsid w:val="004B0053"/>
    <w:rsid w:val="004B02A8"/>
    <w:rsid w:val="004B1D00"/>
    <w:rsid w:val="004B240F"/>
    <w:rsid w:val="004B3723"/>
    <w:rsid w:val="004B4F89"/>
    <w:rsid w:val="004B60B6"/>
    <w:rsid w:val="004B723D"/>
    <w:rsid w:val="004B7949"/>
    <w:rsid w:val="004B7CFD"/>
    <w:rsid w:val="004C096F"/>
    <w:rsid w:val="004C2F95"/>
    <w:rsid w:val="004C608D"/>
    <w:rsid w:val="004C620B"/>
    <w:rsid w:val="004C63C8"/>
    <w:rsid w:val="004C680D"/>
    <w:rsid w:val="004C7D45"/>
    <w:rsid w:val="004D35C5"/>
    <w:rsid w:val="004D5FBA"/>
    <w:rsid w:val="004D6B31"/>
    <w:rsid w:val="004E0A95"/>
    <w:rsid w:val="004E25D8"/>
    <w:rsid w:val="004E4598"/>
    <w:rsid w:val="004E5AAD"/>
    <w:rsid w:val="004F1EE7"/>
    <w:rsid w:val="004F2513"/>
    <w:rsid w:val="004F2799"/>
    <w:rsid w:val="004F4C3A"/>
    <w:rsid w:val="00503563"/>
    <w:rsid w:val="0050429F"/>
    <w:rsid w:val="005064B8"/>
    <w:rsid w:val="00507579"/>
    <w:rsid w:val="00507996"/>
    <w:rsid w:val="005079AE"/>
    <w:rsid w:val="00510EDE"/>
    <w:rsid w:val="00511F3D"/>
    <w:rsid w:val="00513724"/>
    <w:rsid w:val="00514277"/>
    <w:rsid w:val="0052040B"/>
    <w:rsid w:val="00523D58"/>
    <w:rsid w:val="0053006E"/>
    <w:rsid w:val="00534FD4"/>
    <w:rsid w:val="00542DAE"/>
    <w:rsid w:val="00544E9D"/>
    <w:rsid w:val="00545513"/>
    <w:rsid w:val="00552A3A"/>
    <w:rsid w:val="00553413"/>
    <w:rsid w:val="00554098"/>
    <w:rsid w:val="005557D5"/>
    <w:rsid w:val="0055622F"/>
    <w:rsid w:val="00557695"/>
    <w:rsid w:val="00560668"/>
    <w:rsid w:val="00561969"/>
    <w:rsid w:val="005628F2"/>
    <w:rsid w:val="005648A8"/>
    <w:rsid w:val="00564C5A"/>
    <w:rsid w:val="00565799"/>
    <w:rsid w:val="005676B0"/>
    <w:rsid w:val="005703B2"/>
    <w:rsid w:val="0057157F"/>
    <w:rsid w:val="00573375"/>
    <w:rsid w:val="0057504E"/>
    <w:rsid w:val="0057550F"/>
    <w:rsid w:val="00576302"/>
    <w:rsid w:val="005766E7"/>
    <w:rsid w:val="00577065"/>
    <w:rsid w:val="005775D5"/>
    <w:rsid w:val="00580629"/>
    <w:rsid w:val="00581F66"/>
    <w:rsid w:val="00582109"/>
    <w:rsid w:val="0058293F"/>
    <w:rsid w:val="00583C75"/>
    <w:rsid w:val="00596563"/>
    <w:rsid w:val="00597943"/>
    <w:rsid w:val="005A2EA4"/>
    <w:rsid w:val="005A38D9"/>
    <w:rsid w:val="005A6FC0"/>
    <w:rsid w:val="005B24CB"/>
    <w:rsid w:val="005C4E2D"/>
    <w:rsid w:val="005C4FF6"/>
    <w:rsid w:val="005C6C9C"/>
    <w:rsid w:val="005D052B"/>
    <w:rsid w:val="005D1C2E"/>
    <w:rsid w:val="005D1F42"/>
    <w:rsid w:val="005D4327"/>
    <w:rsid w:val="005D4DA0"/>
    <w:rsid w:val="005E1155"/>
    <w:rsid w:val="005E1C83"/>
    <w:rsid w:val="005E3ED9"/>
    <w:rsid w:val="005E412B"/>
    <w:rsid w:val="005E4693"/>
    <w:rsid w:val="005E5D82"/>
    <w:rsid w:val="005E64D4"/>
    <w:rsid w:val="005E71C8"/>
    <w:rsid w:val="005F0D7A"/>
    <w:rsid w:val="005F15DC"/>
    <w:rsid w:val="005F3EB6"/>
    <w:rsid w:val="005F4C28"/>
    <w:rsid w:val="005F607B"/>
    <w:rsid w:val="005F6956"/>
    <w:rsid w:val="005F776E"/>
    <w:rsid w:val="005F7CF1"/>
    <w:rsid w:val="005F7D98"/>
    <w:rsid w:val="00601F98"/>
    <w:rsid w:val="00602691"/>
    <w:rsid w:val="00604B68"/>
    <w:rsid w:val="00605169"/>
    <w:rsid w:val="0060523D"/>
    <w:rsid w:val="006107E0"/>
    <w:rsid w:val="00610E93"/>
    <w:rsid w:val="00614119"/>
    <w:rsid w:val="006159DD"/>
    <w:rsid w:val="00615B07"/>
    <w:rsid w:val="00617B2A"/>
    <w:rsid w:val="0062001E"/>
    <w:rsid w:val="00620086"/>
    <w:rsid w:val="00620AEE"/>
    <w:rsid w:val="00621354"/>
    <w:rsid w:val="00623FCE"/>
    <w:rsid w:val="00626A1E"/>
    <w:rsid w:val="0062775A"/>
    <w:rsid w:val="00630290"/>
    <w:rsid w:val="00630FCE"/>
    <w:rsid w:val="0063282D"/>
    <w:rsid w:val="00632E42"/>
    <w:rsid w:val="006347E5"/>
    <w:rsid w:val="0063560D"/>
    <w:rsid w:val="0063571E"/>
    <w:rsid w:val="0063689A"/>
    <w:rsid w:val="00640DBE"/>
    <w:rsid w:val="00640F2A"/>
    <w:rsid w:val="00642DB9"/>
    <w:rsid w:val="006435D8"/>
    <w:rsid w:val="00644D33"/>
    <w:rsid w:val="00645587"/>
    <w:rsid w:val="00647AD6"/>
    <w:rsid w:val="00647DAA"/>
    <w:rsid w:val="00651DAF"/>
    <w:rsid w:val="00654097"/>
    <w:rsid w:val="006569F8"/>
    <w:rsid w:val="006577F4"/>
    <w:rsid w:val="0066044C"/>
    <w:rsid w:val="006637AF"/>
    <w:rsid w:val="0066387D"/>
    <w:rsid w:val="00664583"/>
    <w:rsid w:val="0066521B"/>
    <w:rsid w:val="00665322"/>
    <w:rsid w:val="00666238"/>
    <w:rsid w:val="00670BB6"/>
    <w:rsid w:val="00677A03"/>
    <w:rsid w:val="00677F35"/>
    <w:rsid w:val="00681BBD"/>
    <w:rsid w:val="00682980"/>
    <w:rsid w:val="0068669C"/>
    <w:rsid w:val="00691743"/>
    <w:rsid w:val="0069181B"/>
    <w:rsid w:val="00691C08"/>
    <w:rsid w:val="00692F18"/>
    <w:rsid w:val="00692F83"/>
    <w:rsid w:val="006939AD"/>
    <w:rsid w:val="00694111"/>
    <w:rsid w:val="006A1F90"/>
    <w:rsid w:val="006A2045"/>
    <w:rsid w:val="006A298E"/>
    <w:rsid w:val="006A2A8D"/>
    <w:rsid w:val="006A3070"/>
    <w:rsid w:val="006A5D5E"/>
    <w:rsid w:val="006A7CB3"/>
    <w:rsid w:val="006B0253"/>
    <w:rsid w:val="006B298F"/>
    <w:rsid w:val="006B2AEB"/>
    <w:rsid w:val="006B37EA"/>
    <w:rsid w:val="006B4AC5"/>
    <w:rsid w:val="006B4C3E"/>
    <w:rsid w:val="006C1EAA"/>
    <w:rsid w:val="006C4742"/>
    <w:rsid w:val="006C4D2B"/>
    <w:rsid w:val="006C589F"/>
    <w:rsid w:val="006C5CF6"/>
    <w:rsid w:val="006C617E"/>
    <w:rsid w:val="006D1D38"/>
    <w:rsid w:val="006D32ED"/>
    <w:rsid w:val="006D5535"/>
    <w:rsid w:val="006D5C8D"/>
    <w:rsid w:val="006D7B58"/>
    <w:rsid w:val="006D7D0B"/>
    <w:rsid w:val="006E3134"/>
    <w:rsid w:val="006E5754"/>
    <w:rsid w:val="006F1AC3"/>
    <w:rsid w:val="006F1ADA"/>
    <w:rsid w:val="006F32A2"/>
    <w:rsid w:val="006F3399"/>
    <w:rsid w:val="006F3412"/>
    <w:rsid w:val="006F4531"/>
    <w:rsid w:val="006F4D64"/>
    <w:rsid w:val="00700C9B"/>
    <w:rsid w:val="00705813"/>
    <w:rsid w:val="007069D4"/>
    <w:rsid w:val="007155FF"/>
    <w:rsid w:val="007205E4"/>
    <w:rsid w:val="0072235E"/>
    <w:rsid w:val="007227C8"/>
    <w:rsid w:val="00724DF5"/>
    <w:rsid w:val="00725467"/>
    <w:rsid w:val="00727E50"/>
    <w:rsid w:val="00731221"/>
    <w:rsid w:val="00733EF6"/>
    <w:rsid w:val="007355F0"/>
    <w:rsid w:val="007369B5"/>
    <w:rsid w:val="00736FDC"/>
    <w:rsid w:val="00737540"/>
    <w:rsid w:val="0073776C"/>
    <w:rsid w:val="00737AC6"/>
    <w:rsid w:val="00746DD1"/>
    <w:rsid w:val="00747F46"/>
    <w:rsid w:val="0075036A"/>
    <w:rsid w:val="0075080C"/>
    <w:rsid w:val="00750C10"/>
    <w:rsid w:val="007510AF"/>
    <w:rsid w:val="0075124D"/>
    <w:rsid w:val="007528E0"/>
    <w:rsid w:val="007542AA"/>
    <w:rsid w:val="00755122"/>
    <w:rsid w:val="00756F5D"/>
    <w:rsid w:val="00757AEB"/>
    <w:rsid w:val="00760521"/>
    <w:rsid w:val="0076205D"/>
    <w:rsid w:val="00762FCE"/>
    <w:rsid w:val="00764710"/>
    <w:rsid w:val="0076478E"/>
    <w:rsid w:val="007703ED"/>
    <w:rsid w:val="0077279B"/>
    <w:rsid w:val="007763AC"/>
    <w:rsid w:val="00777666"/>
    <w:rsid w:val="00780342"/>
    <w:rsid w:val="00785E9B"/>
    <w:rsid w:val="00786014"/>
    <w:rsid w:val="00794060"/>
    <w:rsid w:val="00794DF3"/>
    <w:rsid w:val="00796315"/>
    <w:rsid w:val="007A2746"/>
    <w:rsid w:val="007A52E5"/>
    <w:rsid w:val="007A5FED"/>
    <w:rsid w:val="007A7708"/>
    <w:rsid w:val="007B1314"/>
    <w:rsid w:val="007B3AD4"/>
    <w:rsid w:val="007B631A"/>
    <w:rsid w:val="007B7222"/>
    <w:rsid w:val="007C07A1"/>
    <w:rsid w:val="007C2BD8"/>
    <w:rsid w:val="007C30E7"/>
    <w:rsid w:val="007C37A8"/>
    <w:rsid w:val="007C48C1"/>
    <w:rsid w:val="007D5895"/>
    <w:rsid w:val="007D5B08"/>
    <w:rsid w:val="007E45C4"/>
    <w:rsid w:val="007E5EE1"/>
    <w:rsid w:val="007E7D7E"/>
    <w:rsid w:val="007E7E05"/>
    <w:rsid w:val="007F297C"/>
    <w:rsid w:val="007F373A"/>
    <w:rsid w:val="007F3D27"/>
    <w:rsid w:val="007F4493"/>
    <w:rsid w:val="007F7CF0"/>
    <w:rsid w:val="008015E5"/>
    <w:rsid w:val="00801C59"/>
    <w:rsid w:val="008126D6"/>
    <w:rsid w:val="0081545F"/>
    <w:rsid w:val="00816625"/>
    <w:rsid w:val="00817156"/>
    <w:rsid w:val="00826851"/>
    <w:rsid w:val="008310F9"/>
    <w:rsid w:val="0083126D"/>
    <w:rsid w:val="00831502"/>
    <w:rsid w:val="00831ACB"/>
    <w:rsid w:val="00834F72"/>
    <w:rsid w:val="00835622"/>
    <w:rsid w:val="00841951"/>
    <w:rsid w:val="00851A28"/>
    <w:rsid w:val="00851E65"/>
    <w:rsid w:val="00851F7C"/>
    <w:rsid w:val="00855029"/>
    <w:rsid w:val="00860BBB"/>
    <w:rsid w:val="00860E67"/>
    <w:rsid w:val="00864708"/>
    <w:rsid w:val="00865532"/>
    <w:rsid w:val="008655F4"/>
    <w:rsid w:val="0086630B"/>
    <w:rsid w:val="00866850"/>
    <w:rsid w:val="0087086F"/>
    <w:rsid w:val="0087116F"/>
    <w:rsid w:val="008726C3"/>
    <w:rsid w:val="00875405"/>
    <w:rsid w:val="00876D1A"/>
    <w:rsid w:val="008778BD"/>
    <w:rsid w:val="00877BAD"/>
    <w:rsid w:val="008805B3"/>
    <w:rsid w:val="00881228"/>
    <w:rsid w:val="00881AE9"/>
    <w:rsid w:val="00882FE1"/>
    <w:rsid w:val="0088370C"/>
    <w:rsid w:val="0088509F"/>
    <w:rsid w:val="0088633C"/>
    <w:rsid w:val="008866EC"/>
    <w:rsid w:val="008905BC"/>
    <w:rsid w:val="00890C64"/>
    <w:rsid w:val="008910D5"/>
    <w:rsid w:val="00894EFB"/>
    <w:rsid w:val="00895AB8"/>
    <w:rsid w:val="00896C1A"/>
    <w:rsid w:val="008973DE"/>
    <w:rsid w:val="008A2D6E"/>
    <w:rsid w:val="008B09EF"/>
    <w:rsid w:val="008B18D3"/>
    <w:rsid w:val="008B20CF"/>
    <w:rsid w:val="008B3D7D"/>
    <w:rsid w:val="008C0A96"/>
    <w:rsid w:val="008C0E65"/>
    <w:rsid w:val="008C1AAA"/>
    <w:rsid w:val="008C2101"/>
    <w:rsid w:val="008C314F"/>
    <w:rsid w:val="008C6267"/>
    <w:rsid w:val="008C71F8"/>
    <w:rsid w:val="008C7BD6"/>
    <w:rsid w:val="008D7D8F"/>
    <w:rsid w:val="008E0DB3"/>
    <w:rsid w:val="008E1457"/>
    <w:rsid w:val="008E263D"/>
    <w:rsid w:val="008E276D"/>
    <w:rsid w:val="008E590F"/>
    <w:rsid w:val="008E66D5"/>
    <w:rsid w:val="008E6DB9"/>
    <w:rsid w:val="008F2E68"/>
    <w:rsid w:val="008F3336"/>
    <w:rsid w:val="008F4299"/>
    <w:rsid w:val="008F45C8"/>
    <w:rsid w:val="008F56EA"/>
    <w:rsid w:val="008F602C"/>
    <w:rsid w:val="008F6822"/>
    <w:rsid w:val="008F7298"/>
    <w:rsid w:val="009029B8"/>
    <w:rsid w:val="00903A75"/>
    <w:rsid w:val="009045C1"/>
    <w:rsid w:val="00904DB6"/>
    <w:rsid w:val="009069E9"/>
    <w:rsid w:val="00910F4C"/>
    <w:rsid w:val="00911590"/>
    <w:rsid w:val="00912CCC"/>
    <w:rsid w:val="0091587C"/>
    <w:rsid w:val="009160B0"/>
    <w:rsid w:val="00917CEE"/>
    <w:rsid w:val="00920138"/>
    <w:rsid w:val="009213CC"/>
    <w:rsid w:val="0092276A"/>
    <w:rsid w:val="0092319F"/>
    <w:rsid w:val="00925436"/>
    <w:rsid w:val="0092578F"/>
    <w:rsid w:val="00930298"/>
    <w:rsid w:val="00930463"/>
    <w:rsid w:val="00932A5C"/>
    <w:rsid w:val="00940310"/>
    <w:rsid w:val="00940A24"/>
    <w:rsid w:val="00942F4C"/>
    <w:rsid w:val="009430BF"/>
    <w:rsid w:val="00947989"/>
    <w:rsid w:val="00951A6D"/>
    <w:rsid w:val="00955EC2"/>
    <w:rsid w:val="00957FCE"/>
    <w:rsid w:val="009622C7"/>
    <w:rsid w:val="009646BF"/>
    <w:rsid w:val="009647E0"/>
    <w:rsid w:val="00965832"/>
    <w:rsid w:val="00965A2A"/>
    <w:rsid w:val="009739E8"/>
    <w:rsid w:val="009811CF"/>
    <w:rsid w:val="009813CE"/>
    <w:rsid w:val="00982955"/>
    <w:rsid w:val="009831B7"/>
    <w:rsid w:val="00984687"/>
    <w:rsid w:val="00986411"/>
    <w:rsid w:val="00986D55"/>
    <w:rsid w:val="00987065"/>
    <w:rsid w:val="00987B8A"/>
    <w:rsid w:val="0099028D"/>
    <w:rsid w:val="00992AAB"/>
    <w:rsid w:val="009953FC"/>
    <w:rsid w:val="00995BD8"/>
    <w:rsid w:val="00995EFC"/>
    <w:rsid w:val="0099627A"/>
    <w:rsid w:val="00997350"/>
    <w:rsid w:val="009A020A"/>
    <w:rsid w:val="009A1005"/>
    <w:rsid w:val="009A16DE"/>
    <w:rsid w:val="009A17DF"/>
    <w:rsid w:val="009A496B"/>
    <w:rsid w:val="009A530C"/>
    <w:rsid w:val="009A6C61"/>
    <w:rsid w:val="009B1A4E"/>
    <w:rsid w:val="009B2AB7"/>
    <w:rsid w:val="009B3726"/>
    <w:rsid w:val="009B4065"/>
    <w:rsid w:val="009B548B"/>
    <w:rsid w:val="009B5971"/>
    <w:rsid w:val="009B771F"/>
    <w:rsid w:val="009C2FFF"/>
    <w:rsid w:val="009C51A9"/>
    <w:rsid w:val="009C632C"/>
    <w:rsid w:val="009C6587"/>
    <w:rsid w:val="009D0344"/>
    <w:rsid w:val="009D04ED"/>
    <w:rsid w:val="009D5C04"/>
    <w:rsid w:val="009D6C46"/>
    <w:rsid w:val="009E0255"/>
    <w:rsid w:val="009E1B2C"/>
    <w:rsid w:val="009E57AA"/>
    <w:rsid w:val="009E57B8"/>
    <w:rsid w:val="009E6BAC"/>
    <w:rsid w:val="009F01E3"/>
    <w:rsid w:val="009F056A"/>
    <w:rsid w:val="009F05C7"/>
    <w:rsid w:val="009F3F37"/>
    <w:rsid w:val="009F50C8"/>
    <w:rsid w:val="009F56C5"/>
    <w:rsid w:val="009F5847"/>
    <w:rsid w:val="009F76BA"/>
    <w:rsid w:val="00A026DA"/>
    <w:rsid w:val="00A05362"/>
    <w:rsid w:val="00A0598B"/>
    <w:rsid w:val="00A05ECD"/>
    <w:rsid w:val="00A06147"/>
    <w:rsid w:val="00A06AD1"/>
    <w:rsid w:val="00A11ECB"/>
    <w:rsid w:val="00A12A0E"/>
    <w:rsid w:val="00A12AC9"/>
    <w:rsid w:val="00A138FB"/>
    <w:rsid w:val="00A15223"/>
    <w:rsid w:val="00A15DA6"/>
    <w:rsid w:val="00A217FB"/>
    <w:rsid w:val="00A23245"/>
    <w:rsid w:val="00A245A3"/>
    <w:rsid w:val="00A24859"/>
    <w:rsid w:val="00A304B8"/>
    <w:rsid w:val="00A3401A"/>
    <w:rsid w:val="00A3610C"/>
    <w:rsid w:val="00A40683"/>
    <w:rsid w:val="00A4190B"/>
    <w:rsid w:val="00A41BC3"/>
    <w:rsid w:val="00A42B3B"/>
    <w:rsid w:val="00A432A2"/>
    <w:rsid w:val="00A4402D"/>
    <w:rsid w:val="00A450DF"/>
    <w:rsid w:val="00A531CB"/>
    <w:rsid w:val="00A555D9"/>
    <w:rsid w:val="00A5608C"/>
    <w:rsid w:val="00A563F3"/>
    <w:rsid w:val="00A56D85"/>
    <w:rsid w:val="00A608DF"/>
    <w:rsid w:val="00A6116E"/>
    <w:rsid w:val="00A61669"/>
    <w:rsid w:val="00A6465F"/>
    <w:rsid w:val="00A727D6"/>
    <w:rsid w:val="00A73DC9"/>
    <w:rsid w:val="00A74775"/>
    <w:rsid w:val="00A75B1D"/>
    <w:rsid w:val="00A75BC8"/>
    <w:rsid w:val="00A7664D"/>
    <w:rsid w:val="00A76DC2"/>
    <w:rsid w:val="00A77CB4"/>
    <w:rsid w:val="00A827AE"/>
    <w:rsid w:val="00A831D0"/>
    <w:rsid w:val="00A836BB"/>
    <w:rsid w:val="00A864B2"/>
    <w:rsid w:val="00A96015"/>
    <w:rsid w:val="00AA2832"/>
    <w:rsid w:val="00AA47CF"/>
    <w:rsid w:val="00AA4D89"/>
    <w:rsid w:val="00AA63C0"/>
    <w:rsid w:val="00AA6E12"/>
    <w:rsid w:val="00AB2B2E"/>
    <w:rsid w:val="00AB4FBE"/>
    <w:rsid w:val="00AB58E3"/>
    <w:rsid w:val="00AB61C7"/>
    <w:rsid w:val="00AB6357"/>
    <w:rsid w:val="00AC1604"/>
    <w:rsid w:val="00AC1DC3"/>
    <w:rsid w:val="00AC4D78"/>
    <w:rsid w:val="00AC5ED7"/>
    <w:rsid w:val="00AC6F4D"/>
    <w:rsid w:val="00AD1C34"/>
    <w:rsid w:val="00AD305A"/>
    <w:rsid w:val="00AD33B6"/>
    <w:rsid w:val="00AD396A"/>
    <w:rsid w:val="00AD3AFF"/>
    <w:rsid w:val="00AD50A9"/>
    <w:rsid w:val="00AD5A80"/>
    <w:rsid w:val="00AD7A8A"/>
    <w:rsid w:val="00AE1CAB"/>
    <w:rsid w:val="00AE4BAB"/>
    <w:rsid w:val="00AE7011"/>
    <w:rsid w:val="00AE799C"/>
    <w:rsid w:val="00AF0F2A"/>
    <w:rsid w:val="00AF17AB"/>
    <w:rsid w:val="00AF30DB"/>
    <w:rsid w:val="00AF4655"/>
    <w:rsid w:val="00AF48B3"/>
    <w:rsid w:val="00AF63E4"/>
    <w:rsid w:val="00AF6FE2"/>
    <w:rsid w:val="00AF700A"/>
    <w:rsid w:val="00AF78DB"/>
    <w:rsid w:val="00AF7A16"/>
    <w:rsid w:val="00B000AD"/>
    <w:rsid w:val="00B04ACE"/>
    <w:rsid w:val="00B0588D"/>
    <w:rsid w:val="00B10614"/>
    <w:rsid w:val="00B10D9E"/>
    <w:rsid w:val="00B112FC"/>
    <w:rsid w:val="00B1178E"/>
    <w:rsid w:val="00B130F6"/>
    <w:rsid w:val="00B15337"/>
    <w:rsid w:val="00B16768"/>
    <w:rsid w:val="00B16CDA"/>
    <w:rsid w:val="00B16FFA"/>
    <w:rsid w:val="00B170FB"/>
    <w:rsid w:val="00B21E67"/>
    <w:rsid w:val="00B237DE"/>
    <w:rsid w:val="00B23C26"/>
    <w:rsid w:val="00B2465A"/>
    <w:rsid w:val="00B25DE8"/>
    <w:rsid w:val="00B26308"/>
    <w:rsid w:val="00B26656"/>
    <w:rsid w:val="00B31709"/>
    <w:rsid w:val="00B31CCF"/>
    <w:rsid w:val="00B33015"/>
    <w:rsid w:val="00B33B9D"/>
    <w:rsid w:val="00B3573B"/>
    <w:rsid w:val="00B366CC"/>
    <w:rsid w:val="00B3686D"/>
    <w:rsid w:val="00B3735E"/>
    <w:rsid w:val="00B4170C"/>
    <w:rsid w:val="00B42672"/>
    <w:rsid w:val="00B43DD5"/>
    <w:rsid w:val="00B533C3"/>
    <w:rsid w:val="00B53D02"/>
    <w:rsid w:val="00B60592"/>
    <w:rsid w:val="00B613CB"/>
    <w:rsid w:val="00B61474"/>
    <w:rsid w:val="00B62099"/>
    <w:rsid w:val="00B64985"/>
    <w:rsid w:val="00B649BF"/>
    <w:rsid w:val="00B65622"/>
    <w:rsid w:val="00B71301"/>
    <w:rsid w:val="00B73A11"/>
    <w:rsid w:val="00B73DAA"/>
    <w:rsid w:val="00B74461"/>
    <w:rsid w:val="00B76A8F"/>
    <w:rsid w:val="00B80ED6"/>
    <w:rsid w:val="00B816AA"/>
    <w:rsid w:val="00B83B82"/>
    <w:rsid w:val="00B851FE"/>
    <w:rsid w:val="00B85BB2"/>
    <w:rsid w:val="00B85DCE"/>
    <w:rsid w:val="00B8674E"/>
    <w:rsid w:val="00B87861"/>
    <w:rsid w:val="00B9159F"/>
    <w:rsid w:val="00B928C9"/>
    <w:rsid w:val="00B93ED0"/>
    <w:rsid w:val="00B94171"/>
    <w:rsid w:val="00B954ED"/>
    <w:rsid w:val="00B97761"/>
    <w:rsid w:val="00BA04A7"/>
    <w:rsid w:val="00BA0509"/>
    <w:rsid w:val="00BA4D79"/>
    <w:rsid w:val="00BA6DB5"/>
    <w:rsid w:val="00BA6FF5"/>
    <w:rsid w:val="00BB383E"/>
    <w:rsid w:val="00BB4B47"/>
    <w:rsid w:val="00BB60F4"/>
    <w:rsid w:val="00BB7F6B"/>
    <w:rsid w:val="00BC0952"/>
    <w:rsid w:val="00BC385A"/>
    <w:rsid w:val="00BC4020"/>
    <w:rsid w:val="00BC737B"/>
    <w:rsid w:val="00BD006B"/>
    <w:rsid w:val="00BD0209"/>
    <w:rsid w:val="00BD41FA"/>
    <w:rsid w:val="00BD42B4"/>
    <w:rsid w:val="00BD570C"/>
    <w:rsid w:val="00BD58DD"/>
    <w:rsid w:val="00BD5BB0"/>
    <w:rsid w:val="00BE0AD9"/>
    <w:rsid w:val="00BE61F3"/>
    <w:rsid w:val="00BE6421"/>
    <w:rsid w:val="00BE6D42"/>
    <w:rsid w:val="00BF278A"/>
    <w:rsid w:val="00C019CE"/>
    <w:rsid w:val="00C020BC"/>
    <w:rsid w:val="00C02675"/>
    <w:rsid w:val="00C02842"/>
    <w:rsid w:val="00C03BFA"/>
    <w:rsid w:val="00C046A9"/>
    <w:rsid w:val="00C048B3"/>
    <w:rsid w:val="00C04BB7"/>
    <w:rsid w:val="00C05192"/>
    <w:rsid w:val="00C070D7"/>
    <w:rsid w:val="00C07425"/>
    <w:rsid w:val="00C07584"/>
    <w:rsid w:val="00C10FAF"/>
    <w:rsid w:val="00C11C4A"/>
    <w:rsid w:val="00C15C54"/>
    <w:rsid w:val="00C174CE"/>
    <w:rsid w:val="00C17CAB"/>
    <w:rsid w:val="00C20469"/>
    <w:rsid w:val="00C210A2"/>
    <w:rsid w:val="00C21387"/>
    <w:rsid w:val="00C243C6"/>
    <w:rsid w:val="00C27A03"/>
    <w:rsid w:val="00C31ECE"/>
    <w:rsid w:val="00C3339C"/>
    <w:rsid w:val="00C3353C"/>
    <w:rsid w:val="00C35A06"/>
    <w:rsid w:val="00C37736"/>
    <w:rsid w:val="00C40C2A"/>
    <w:rsid w:val="00C44F63"/>
    <w:rsid w:val="00C46BCC"/>
    <w:rsid w:val="00C46D7B"/>
    <w:rsid w:val="00C46FC2"/>
    <w:rsid w:val="00C50CFC"/>
    <w:rsid w:val="00C51481"/>
    <w:rsid w:val="00C51871"/>
    <w:rsid w:val="00C52067"/>
    <w:rsid w:val="00C55495"/>
    <w:rsid w:val="00C65805"/>
    <w:rsid w:val="00C665F9"/>
    <w:rsid w:val="00C70EF5"/>
    <w:rsid w:val="00C7704F"/>
    <w:rsid w:val="00C77170"/>
    <w:rsid w:val="00C77178"/>
    <w:rsid w:val="00C802C8"/>
    <w:rsid w:val="00C80B92"/>
    <w:rsid w:val="00C82A43"/>
    <w:rsid w:val="00C84961"/>
    <w:rsid w:val="00C8576A"/>
    <w:rsid w:val="00C877FF"/>
    <w:rsid w:val="00C87AB0"/>
    <w:rsid w:val="00C90460"/>
    <w:rsid w:val="00C91030"/>
    <w:rsid w:val="00C93618"/>
    <w:rsid w:val="00C94A5C"/>
    <w:rsid w:val="00C953F2"/>
    <w:rsid w:val="00C9613F"/>
    <w:rsid w:val="00CA6F49"/>
    <w:rsid w:val="00CA7DD2"/>
    <w:rsid w:val="00CB0591"/>
    <w:rsid w:val="00CB15C5"/>
    <w:rsid w:val="00CB3261"/>
    <w:rsid w:val="00CB3A87"/>
    <w:rsid w:val="00CB4272"/>
    <w:rsid w:val="00CC07F4"/>
    <w:rsid w:val="00CC1F15"/>
    <w:rsid w:val="00CC2427"/>
    <w:rsid w:val="00CC38C2"/>
    <w:rsid w:val="00CC57DA"/>
    <w:rsid w:val="00CC60DB"/>
    <w:rsid w:val="00CC6845"/>
    <w:rsid w:val="00CC6C8B"/>
    <w:rsid w:val="00CD1030"/>
    <w:rsid w:val="00CD210F"/>
    <w:rsid w:val="00CD4A01"/>
    <w:rsid w:val="00CE0508"/>
    <w:rsid w:val="00CE0649"/>
    <w:rsid w:val="00CE2E21"/>
    <w:rsid w:val="00CE5574"/>
    <w:rsid w:val="00CE603B"/>
    <w:rsid w:val="00CE62D2"/>
    <w:rsid w:val="00CE6915"/>
    <w:rsid w:val="00CE707F"/>
    <w:rsid w:val="00CF11B1"/>
    <w:rsid w:val="00CF3CB5"/>
    <w:rsid w:val="00CF4554"/>
    <w:rsid w:val="00CF69C4"/>
    <w:rsid w:val="00CF787B"/>
    <w:rsid w:val="00CF7D73"/>
    <w:rsid w:val="00D0165F"/>
    <w:rsid w:val="00D02FA8"/>
    <w:rsid w:val="00D05077"/>
    <w:rsid w:val="00D14711"/>
    <w:rsid w:val="00D15200"/>
    <w:rsid w:val="00D15BEA"/>
    <w:rsid w:val="00D167CB"/>
    <w:rsid w:val="00D2007A"/>
    <w:rsid w:val="00D2097B"/>
    <w:rsid w:val="00D23622"/>
    <w:rsid w:val="00D25C43"/>
    <w:rsid w:val="00D27E3A"/>
    <w:rsid w:val="00D33B06"/>
    <w:rsid w:val="00D35EAE"/>
    <w:rsid w:val="00D37657"/>
    <w:rsid w:val="00D37D7F"/>
    <w:rsid w:val="00D42783"/>
    <w:rsid w:val="00D451C2"/>
    <w:rsid w:val="00D461F0"/>
    <w:rsid w:val="00D469F5"/>
    <w:rsid w:val="00D46EA5"/>
    <w:rsid w:val="00D534F2"/>
    <w:rsid w:val="00D53641"/>
    <w:rsid w:val="00D539A0"/>
    <w:rsid w:val="00D53A73"/>
    <w:rsid w:val="00D54FDA"/>
    <w:rsid w:val="00D62C35"/>
    <w:rsid w:val="00D64363"/>
    <w:rsid w:val="00D64E41"/>
    <w:rsid w:val="00D65741"/>
    <w:rsid w:val="00D67485"/>
    <w:rsid w:val="00D678BA"/>
    <w:rsid w:val="00D7678C"/>
    <w:rsid w:val="00D7799F"/>
    <w:rsid w:val="00D80FE7"/>
    <w:rsid w:val="00D81806"/>
    <w:rsid w:val="00D81A4C"/>
    <w:rsid w:val="00D84951"/>
    <w:rsid w:val="00D8618B"/>
    <w:rsid w:val="00D86A0C"/>
    <w:rsid w:val="00D878D0"/>
    <w:rsid w:val="00D878EB"/>
    <w:rsid w:val="00D87F7C"/>
    <w:rsid w:val="00D92A1A"/>
    <w:rsid w:val="00D93764"/>
    <w:rsid w:val="00D939E2"/>
    <w:rsid w:val="00D94453"/>
    <w:rsid w:val="00D94615"/>
    <w:rsid w:val="00DA1172"/>
    <w:rsid w:val="00DA1680"/>
    <w:rsid w:val="00DA170E"/>
    <w:rsid w:val="00DA2666"/>
    <w:rsid w:val="00DA35B6"/>
    <w:rsid w:val="00DA661B"/>
    <w:rsid w:val="00DA6626"/>
    <w:rsid w:val="00DA6A98"/>
    <w:rsid w:val="00DB41AD"/>
    <w:rsid w:val="00DB5372"/>
    <w:rsid w:val="00DB5A46"/>
    <w:rsid w:val="00DB6015"/>
    <w:rsid w:val="00DB7226"/>
    <w:rsid w:val="00DC1557"/>
    <w:rsid w:val="00DC2CDF"/>
    <w:rsid w:val="00DC531A"/>
    <w:rsid w:val="00DC5848"/>
    <w:rsid w:val="00DD0E87"/>
    <w:rsid w:val="00DD2694"/>
    <w:rsid w:val="00DD3CD1"/>
    <w:rsid w:val="00DD43FE"/>
    <w:rsid w:val="00DD594D"/>
    <w:rsid w:val="00DD61DA"/>
    <w:rsid w:val="00DE1F02"/>
    <w:rsid w:val="00DE353B"/>
    <w:rsid w:val="00DE5B03"/>
    <w:rsid w:val="00DE643E"/>
    <w:rsid w:val="00DE7B6C"/>
    <w:rsid w:val="00DF0086"/>
    <w:rsid w:val="00DF14E7"/>
    <w:rsid w:val="00DF2FEE"/>
    <w:rsid w:val="00DF44E1"/>
    <w:rsid w:val="00E00534"/>
    <w:rsid w:val="00E03EDA"/>
    <w:rsid w:val="00E03FAA"/>
    <w:rsid w:val="00E04889"/>
    <w:rsid w:val="00E04971"/>
    <w:rsid w:val="00E07BAA"/>
    <w:rsid w:val="00E07DDD"/>
    <w:rsid w:val="00E12612"/>
    <w:rsid w:val="00E14817"/>
    <w:rsid w:val="00E16EC6"/>
    <w:rsid w:val="00E23F08"/>
    <w:rsid w:val="00E2538D"/>
    <w:rsid w:val="00E25499"/>
    <w:rsid w:val="00E255BB"/>
    <w:rsid w:val="00E26DF6"/>
    <w:rsid w:val="00E33C0A"/>
    <w:rsid w:val="00E36393"/>
    <w:rsid w:val="00E414A1"/>
    <w:rsid w:val="00E41727"/>
    <w:rsid w:val="00E42DE8"/>
    <w:rsid w:val="00E43C95"/>
    <w:rsid w:val="00E45543"/>
    <w:rsid w:val="00E5016A"/>
    <w:rsid w:val="00E510F8"/>
    <w:rsid w:val="00E51F54"/>
    <w:rsid w:val="00E52777"/>
    <w:rsid w:val="00E54736"/>
    <w:rsid w:val="00E568A0"/>
    <w:rsid w:val="00E56C27"/>
    <w:rsid w:val="00E60522"/>
    <w:rsid w:val="00E60A08"/>
    <w:rsid w:val="00E60F6F"/>
    <w:rsid w:val="00E62BE6"/>
    <w:rsid w:val="00E62CA3"/>
    <w:rsid w:val="00E62CE0"/>
    <w:rsid w:val="00E66021"/>
    <w:rsid w:val="00E66DEF"/>
    <w:rsid w:val="00E66F69"/>
    <w:rsid w:val="00E70B46"/>
    <w:rsid w:val="00E71374"/>
    <w:rsid w:val="00E7236D"/>
    <w:rsid w:val="00E73562"/>
    <w:rsid w:val="00E747CA"/>
    <w:rsid w:val="00E757DA"/>
    <w:rsid w:val="00E76AB0"/>
    <w:rsid w:val="00E77075"/>
    <w:rsid w:val="00E82DE9"/>
    <w:rsid w:val="00E82E2F"/>
    <w:rsid w:val="00E860B2"/>
    <w:rsid w:val="00E870F9"/>
    <w:rsid w:val="00E8715E"/>
    <w:rsid w:val="00E87569"/>
    <w:rsid w:val="00E9190D"/>
    <w:rsid w:val="00E93001"/>
    <w:rsid w:val="00E938EC"/>
    <w:rsid w:val="00E94946"/>
    <w:rsid w:val="00E96850"/>
    <w:rsid w:val="00EA3863"/>
    <w:rsid w:val="00EA3C5D"/>
    <w:rsid w:val="00EA3ED1"/>
    <w:rsid w:val="00EA5B16"/>
    <w:rsid w:val="00EA6217"/>
    <w:rsid w:val="00EA6446"/>
    <w:rsid w:val="00EA7A48"/>
    <w:rsid w:val="00EA7EFA"/>
    <w:rsid w:val="00EB0143"/>
    <w:rsid w:val="00EB19B3"/>
    <w:rsid w:val="00EB1D5B"/>
    <w:rsid w:val="00EB38C6"/>
    <w:rsid w:val="00EB5307"/>
    <w:rsid w:val="00EB79DC"/>
    <w:rsid w:val="00EC71F2"/>
    <w:rsid w:val="00ED1BF2"/>
    <w:rsid w:val="00ED2F9D"/>
    <w:rsid w:val="00ED746C"/>
    <w:rsid w:val="00ED75F9"/>
    <w:rsid w:val="00EE02B8"/>
    <w:rsid w:val="00EE0CED"/>
    <w:rsid w:val="00EE1E70"/>
    <w:rsid w:val="00EE30DB"/>
    <w:rsid w:val="00EE31FA"/>
    <w:rsid w:val="00EE35C0"/>
    <w:rsid w:val="00EE4473"/>
    <w:rsid w:val="00EE4D6C"/>
    <w:rsid w:val="00EE5EA0"/>
    <w:rsid w:val="00EE69C0"/>
    <w:rsid w:val="00EE76ED"/>
    <w:rsid w:val="00EF0327"/>
    <w:rsid w:val="00EF1BE9"/>
    <w:rsid w:val="00EF2CE7"/>
    <w:rsid w:val="00EF3991"/>
    <w:rsid w:val="00EF727E"/>
    <w:rsid w:val="00EF7F11"/>
    <w:rsid w:val="00F014BF"/>
    <w:rsid w:val="00F01F95"/>
    <w:rsid w:val="00F021B4"/>
    <w:rsid w:val="00F0252D"/>
    <w:rsid w:val="00F046BE"/>
    <w:rsid w:val="00F065D1"/>
    <w:rsid w:val="00F104DE"/>
    <w:rsid w:val="00F1184C"/>
    <w:rsid w:val="00F132D2"/>
    <w:rsid w:val="00F136A6"/>
    <w:rsid w:val="00F17DF0"/>
    <w:rsid w:val="00F207ED"/>
    <w:rsid w:val="00F21ABF"/>
    <w:rsid w:val="00F23A06"/>
    <w:rsid w:val="00F23F9C"/>
    <w:rsid w:val="00F2573A"/>
    <w:rsid w:val="00F25F42"/>
    <w:rsid w:val="00F2634E"/>
    <w:rsid w:val="00F30757"/>
    <w:rsid w:val="00F30A0D"/>
    <w:rsid w:val="00F3219C"/>
    <w:rsid w:val="00F34201"/>
    <w:rsid w:val="00F41587"/>
    <w:rsid w:val="00F429B7"/>
    <w:rsid w:val="00F42B2F"/>
    <w:rsid w:val="00F44623"/>
    <w:rsid w:val="00F44FAF"/>
    <w:rsid w:val="00F4544B"/>
    <w:rsid w:val="00F51AB0"/>
    <w:rsid w:val="00F527BF"/>
    <w:rsid w:val="00F54A13"/>
    <w:rsid w:val="00F567E9"/>
    <w:rsid w:val="00F608D4"/>
    <w:rsid w:val="00F60DFC"/>
    <w:rsid w:val="00F62BE6"/>
    <w:rsid w:val="00F63036"/>
    <w:rsid w:val="00F63203"/>
    <w:rsid w:val="00F63411"/>
    <w:rsid w:val="00F6363E"/>
    <w:rsid w:val="00F6701A"/>
    <w:rsid w:val="00F67F02"/>
    <w:rsid w:val="00F71946"/>
    <w:rsid w:val="00F73105"/>
    <w:rsid w:val="00F733D8"/>
    <w:rsid w:val="00F742D8"/>
    <w:rsid w:val="00F75F65"/>
    <w:rsid w:val="00F7646A"/>
    <w:rsid w:val="00F76C06"/>
    <w:rsid w:val="00F80A18"/>
    <w:rsid w:val="00F83D0F"/>
    <w:rsid w:val="00F83E8E"/>
    <w:rsid w:val="00F84BFE"/>
    <w:rsid w:val="00F84EF2"/>
    <w:rsid w:val="00F900F8"/>
    <w:rsid w:val="00F92189"/>
    <w:rsid w:val="00F938B0"/>
    <w:rsid w:val="00F952D8"/>
    <w:rsid w:val="00F954DF"/>
    <w:rsid w:val="00F9609A"/>
    <w:rsid w:val="00F96A57"/>
    <w:rsid w:val="00FA01C9"/>
    <w:rsid w:val="00FA25BD"/>
    <w:rsid w:val="00FA5926"/>
    <w:rsid w:val="00FA6C62"/>
    <w:rsid w:val="00FB0B5C"/>
    <w:rsid w:val="00FB1433"/>
    <w:rsid w:val="00FB51B2"/>
    <w:rsid w:val="00FB5C4E"/>
    <w:rsid w:val="00FB69D3"/>
    <w:rsid w:val="00FC074F"/>
    <w:rsid w:val="00FC19B5"/>
    <w:rsid w:val="00FC2635"/>
    <w:rsid w:val="00FC267B"/>
    <w:rsid w:val="00FC2A1D"/>
    <w:rsid w:val="00FC5964"/>
    <w:rsid w:val="00FD12D1"/>
    <w:rsid w:val="00FD2441"/>
    <w:rsid w:val="00FD7969"/>
    <w:rsid w:val="00FD7B69"/>
    <w:rsid w:val="00FE3CD5"/>
    <w:rsid w:val="00FE6373"/>
    <w:rsid w:val="00FE6814"/>
    <w:rsid w:val="00FF2858"/>
    <w:rsid w:val="00FF2ECE"/>
    <w:rsid w:val="00FF2F0C"/>
    <w:rsid w:val="00FF39A8"/>
    <w:rsid w:val="00FF3F14"/>
    <w:rsid w:val="00FF55CD"/>
    <w:rsid w:val="00FF5D41"/>
    <w:rsid w:val="00FF6A9B"/>
    <w:rsid w:val="00FF765F"/>
    <w:rsid w:val="01243D57"/>
    <w:rsid w:val="022706CF"/>
    <w:rsid w:val="022E3090"/>
    <w:rsid w:val="02753C42"/>
    <w:rsid w:val="027A5940"/>
    <w:rsid w:val="027A76EE"/>
    <w:rsid w:val="02E66304"/>
    <w:rsid w:val="03912F41"/>
    <w:rsid w:val="03B20051"/>
    <w:rsid w:val="03C00FBA"/>
    <w:rsid w:val="05863399"/>
    <w:rsid w:val="05EF2AA1"/>
    <w:rsid w:val="06DD75E8"/>
    <w:rsid w:val="06EE4206"/>
    <w:rsid w:val="06F42124"/>
    <w:rsid w:val="07114771"/>
    <w:rsid w:val="08362309"/>
    <w:rsid w:val="090C134A"/>
    <w:rsid w:val="093E07EF"/>
    <w:rsid w:val="09443223"/>
    <w:rsid w:val="0998052D"/>
    <w:rsid w:val="09D973F0"/>
    <w:rsid w:val="0A5445F0"/>
    <w:rsid w:val="0A7B29AD"/>
    <w:rsid w:val="0B670567"/>
    <w:rsid w:val="0BCF77DA"/>
    <w:rsid w:val="0CBB102F"/>
    <w:rsid w:val="0D913B3D"/>
    <w:rsid w:val="0DB64453"/>
    <w:rsid w:val="0DCF2F9A"/>
    <w:rsid w:val="0DF73EED"/>
    <w:rsid w:val="0E453708"/>
    <w:rsid w:val="0E992CF7"/>
    <w:rsid w:val="0F40288F"/>
    <w:rsid w:val="0F6A5E06"/>
    <w:rsid w:val="0F745475"/>
    <w:rsid w:val="0F9E5B52"/>
    <w:rsid w:val="0FE02CC8"/>
    <w:rsid w:val="10094A5F"/>
    <w:rsid w:val="10610EDA"/>
    <w:rsid w:val="10DA7E8F"/>
    <w:rsid w:val="10DF5A7B"/>
    <w:rsid w:val="11324A94"/>
    <w:rsid w:val="116051D3"/>
    <w:rsid w:val="1296570D"/>
    <w:rsid w:val="12F36B53"/>
    <w:rsid w:val="13393500"/>
    <w:rsid w:val="13670F21"/>
    <w:rsid w:val="13C407C9"/>
    <w:rsid w:val="13CA5CC6"/>
    <w:rsid w:val="13F331B4"/>
    <w:rsid w:val="14301540"/>
    <w:rsid w:val="147B0636"/>
    <w:rsid w:val="14EB6AC3"/>
    <w:rsid w:val="15AF052D"/>
    <w:rsid w:val="15C9656A"/>
    <w:rsid w:val="1698487D"/>
    <w:rsid w:val="16AC29D3"/>
    <w:rsid w:val="173B16C6"/>
    <w:rsid w:val="175657A7"/>
    <w:rsid w:val="1784309D"/>
    <w:rsid w:val="17AF1520"/>
    <w:rsid w:val="17DE4D36"/>
    <w:rsid w:val="182A486E"/>
    <w:rsid w:val="183067C9"/>
    <w:rsid w:val="1835154F"/>
    <w:rsid w:val="18C07FF8"/>
    <w:rsid w:val="18D05E62"/>
    <w:rsid w:val="18F2627F"/>
    <w:rsid w:val="19655F93"/>
    <w:rsid w:val="19B957EF"/>
    <w:rsid w:val="19DB1816"/>
    <w:rsid w:val="19EF056A"/>
    <w:rsid w:val="1A271AB1"/>
    <w:rsid w:val="1B8A4D81"/>
    <w:rsid w:val="1B8E7054"/>
    <w:rsid w:val="1BC3580A"/>
    <w:rsid w:val="1BCD6688"/>
    <w:rsid w:val="1D0647B7"/>
    <w:rsid w:val="1D374356"/>
    <w:rsid w:val="1DB57E4B"/>
    <w:rsid w:val="1DF148B0"/>
    <w:rsid w:val="1EEF687A"/>
    <w:rsid w:val="1EF80C97"/>
    <w:rsid w:val="2021436A"/>
    <w:rsid w:val="20965EFE"/>
    <w:rsid w:val="211D3095"/>
    <w:rsid w:val="21E72FDE"/>
    <w:rsid w:val="22090C8B"/>
    <w:rsid w:val="22305FB7"/>
    <w:rsid w:val="227A4D96"/>
    <w:rsid w:val="22E02645"/>
    <w:rsid w:val="230003F4"/>
    <w:rsid w:val="23FC5D5D"/>
    <w:rsid w:val="24271581"/>
    <w:rsid w:val="255630AD"/>
    <w:rsid w:val="26026CBE"/>
    <w:rsid w:val="26335B3E"/>
    <w:rsid w:val="26594305"/>
    <w:rsid w:val="268A74F7"/>
    <w:rsid w:val="2746390C"/>
    <w:rsid w:val="281A2C55"/>
    <w:rsid w:val="28BF09DE"/>
    <w:rsid w:val="28F12D13"/>
    <w:rsid w:val="290B3DAA"/>
    <w:rsid w:val="29263F95"/>
    <w:rsid w:val="297B3247"/>
    <w:rsid w:val="2AFA28CA"/>
    <w:rsid w:val="2C835CA7"/>
    <w:rsid w:val="2C9E3581"/>
    <w:rsid w:val="2D0059B9"/>
    <w:rsid w:val="2DC179D5"/>
    <w:rsid w:val="2DC406FB"/>
    <w:rsid w:val="2DE413BF"/>
    <w:rsid w:val="2E4F1E02"/>
    <w:rsid w:val="2E9F50E9"/>
    <w:rsid w:val="2EBE2EF0"/>
    <w:rsid w:val="30112D6E"/>
    <w:rsid w:val="307F4383"/>
    <w:rsid w:val="30A174BD"/>
    <w:rsid w:val="30C16364"/>
    <w:rsid w:val="30CD1AE9"/>
    <w:rsid w:val="30E81B43"/>
    <w:rsid w:val="317A2051"/>
    <w:rsid w:val="326E1CEC"/>
    <w:rsid w:val="328315E5"/>
    <w:rsid w:val="33B421B0"/>
    <w:rsid w:val="33C30AA4"/>
    <w:rsid w:val="3498710C"/>
    <w:rsid w:val="34FA42CB"/>
    <w:rsid w:val="35281FC8"/>
    <w:rsid w:val="35453E62"/>
    <w:rsid w:val="35BC2540"/>
    <w:rsid w:val="35EB67D2"/>
    <w:rsid w:val="35F03BD1"/>
    <w:rsid w:val="368074C4"/>
    <w:rsid w:val="369F08C8"/>
    <w:rsid w:val="36B6316A"/>
    <w:rsid w:val="374B527C"/>
    <w:rsid w:val="385C6972"/>
    <w:rsid w:val="38A26A7B"/>
    <w:rsid w:val="391F0B23"/>
    <w:rsid w:val="39A011A2"/>
    <w:rsid w:val="39BA1ABC"/>
    <w:rsid w:val="3B096EDC"/>
    <w:rsid w:val="3B404F99"/>
    <w:rsid w:val="3B433A6A"/>
    <w:rsid w:val="3B664D4A"/>
    <w:rsid w:val="3C2B4041"/>
    <w:rsid w:val="3D1518AE"/>
    <w:rsid w:val="3E1A1DEA"/>
    <w:rsid w:val="3E71682B"/>
    <w:rsid w:val="3EA01E63"/>
    <w:rsid w:val="3EB07BCA"/>
    <w:rsid w:val="3ED96F6F"/>
    <w:rsid w:val="3F2B3B1B"/>
    <w:rsid w:val="3F402B4A"/>
    <w:rsid w:val="3F4166B3"/>
    <w:rsid w:val="3F59103B"/>
    <w:rsid w:val="3F8E5405"/>
    <w:rsid w:val="40310D19"/>
    <w:rsid w:val="408F646F"/>
    <w:rsid w:val="40A57DE6"/>
    <w:rsid w:val="40B32EDD"/>
    <w:rsid w:val="40F10A75"/>
    <w:rsid w:val="42133C7C"/>
    <w:rsid w:val="425132C0"/>
    <w:rsid w:val="425F3C2F"/>
    <w:rsid w:val="43CB7A4F"/>
    <w:rsid w:val="43FF7E99"/>
    <w:rsid w:val="443D50BB"/>
    <w:rsid w:val="44AE06FE"/>
    <w:rsid w:val="44FA4E21"/>
    <w:rsid w:val="458D460F"/>
    <w:rsid w:val="45BA3661"/>
    <w:rsid w:val="4636797C"/>
    <w:rsid w:val="467A2DE5"/>
    <w:rsid w:val="469D2991"/>
    <w:rsid w:val="46AE4ACD"/>
    <w:rsid w:val="46C00546"/>
    <w:rsid w:val="46C422B2"/>
    <w:rsid w:val="46C95D05"/>
    <w:rsid w:val="46E93009"/>
    <w:rsid w:val="48D44F58"/>
    <w:rsid w:val="49262DB0"/>
    <w:rsid w:val="49E75542"/>
    <w:rsid w:val="4A2E0266"/>
    <w:rsid w:val="4A531647"/>
    <w:rsid w:val="4AF21B21"/>
    <w:rsid w:val="4B1D2E36"/>
    <w:rsid w:val="4B8946D3"/>
    <w:rsid w:val="4D59305E"/>
    <w:rsid w:val="4D9B2273"/>
    <w:rsid w:val="4E1C6C85"/>
    <w:rsid w:val="4E451E20"/>
    <w:rsid w:val="4E644144"/>
    <w:rsid w:val="4ECA6411"/>
    <w:rsid w:val="4F116401"/>
    <w:rsid w:val="4F4777AB"/>
    <w:rsid w:val="4F82216C"/>
    <w:rsid w:val="4FDE275E"/>
    <w:rsid w:val="4FEC1201"/>
    <w:rsid w:val="4FFA4F97"/>
    <w:rsid w:val="506B2BC3"/>
    <w:rsid w:val="50874FBA"/>
    <w:rsid w:val="50FD6EA0"/>
    <w:rsid w:val="5154546D"/>
    <w:rsid w:val="51714FF5"/>
    <w:rsid w:val="5176064D"/>
    <w:rsid w:val="5262787B"/>
    <w:rsid w:val="52D431C9"/>
    <w:rsid w:val="53A60349"/>
    <w:rsid w:val="53E064E5"/>
    <w:rsid w:val="54065762"/>
    <w:rsid w:val="544B47F9"/>
    <w:rsid w:val="547F502C"/>
    <w:rsid w:val="548F0528"/>
    <w:rsid w:val="54AA19D8"/>
    <w:rsid w:val="54CF449E"/>
    <w:rsid w:val="54D72CF2"/>
    <w:rsid w:val="553B4087"/>
    <w:rsid w:val="559C7AC6"/>
    <w:rsid w:val="56411F2F"/>
    <w:rsid w:val="56436613"/>
    <w:rsid w:val="565618A4"/>
    <w:rsid w:val="56F049FE"/>
    <w:rsid w:val="57311E28"/>
    <w:rsid w:val="58385C7A"/>
    <w:rsid w:val="586D0483"/>
    <w:rsid w:val="58BA4C03"/>
    <w:rsid w:val="592E3437"/>
    <w:rsid w:val="599C22F1"/>
    <w:rsid w:val="59D976B1"/>
    <w:rsid w:val="5A0F74B8"/>
    <w:rsid w:val="5A4E660B"/>
    <w:rsid w:val="5AD170EA"/>
    <w:rsid w:val="5B286E5C"/>
    <w:rsid w:val="5BBE17F3"/>
    <w:rsid w:val="5BD83A12"/>
    <w:rsid w:val="5BEF2A28"/>
    <w:rsid w:val="5D72616D"/>
    <w:rsid w:val="5E281E6D"/>
    <w:rsid w:val="5E35155B"/>
    <w:rsid w:val="5E4E5B8E"/>
    <w:rsid w:val="5EBB6FA4"/>
    <w:rsid w:val="5F986BBC"/>
    <w:rsid w:val="6009371C"/>
    <w:rsid w:val="613F0A5C"/>
    <w:rsid w:val="619735A8"/>
    <w:rsid w:val="61F24736"/>
    <w:rsid w:val="621912AD"/>
    <w:rsid w:val="62986BCB"/>
    <w:rsid w:val="63C52801"/>
    <w:rsid w:val="63C7130D"/>
    <w:rsid w:val="63F8267F"/>
    <w:rsid w:val="643C2F76"/>
    <w:rsid w:val="65393CF6"/>
    <w:rsid w:val="65B55790"/>
    <w:rsid w:val="66737D2A"/>
    <w:rsid w:val="67141D62"/>
    <w:rsid w:val="674548F2"/>
    <w:rsid w:val="67760F4F"/>
    <w:rsid w:val="67E33266"/>
    <w:rsid w:val="68A1024E"/>
    <w:rsid w:val="68A81D08"/>
    <w:rsid w:val="68C31B5A"/>
    <w:rsid w:val="68D107D9"/>
    <w:rsid w:val="68E86847"/>
    <w:rsid w:val="68F77E6E"/>
    <w:rsid w:val="68F91E38"/>
    <w:rsid w:val="69116C18"/>
    <w:rsid w:val="693D50B1"/>
    <w:rsid w:val="69AE3301"/>
    <w:rsid w:val="69C63B2F"/>
    <w:rsid w:val="6A372590"/>
    <w:rsid w:val="6B084A7B"/>
    <w:rsid w:val="6B5A61A7"/>
    <w:rsid w:val="6B817B55"/>
    <w:rsid w:val="6BD6020E"/>
    <w:rsid w:val="6CCF71A6"/>
    <w:rsid w:val="6CFB1C93"/>
    <w:rsid w:val="6D437B25"/>
    <w:rsid w:val="6DF5319E"/>
    <w:rsid w:val="6EAC2AEC"/>
    <w:rsid w:val="6F6D03D1"/>
    <w:rsid w:val="6F9D0722"/>
    <w:rsid w:val="6FB30F3D"/>
    <w:rsid w:val="6FB40F64"/>
    <w:rsid w:val="70903082"/>
    <w:rsid w:val="70BB2688"/>
    <w:rsid w:val="7102208A"/>
    <w:rsid w:val="710E3FA6"/>
    <w:rsid w:val="71110CB3"/>
    <w:rsid w:val="71A069ED"/>
    <w:rsid w:val="71B04EE3"/>
    <w:rsid w:val="71F3772C"/>
    <w:rsid w:val="721574D9"/>
    <w:rsid w:val="72F75107"/>
    <w:rsid w:val="732C4335"/>
    <w:rsid w:val="735231F6"/>
    <w:rsid w:val="738E001D"/>
    <w:rsid w:val="74B574A9"/>
    <w:rsid w:val="75AB41AA"/>
    <w:rsid w:val="768D3215"/>
    <w:rsid w:val="76D465D3"/>
    <w:rsid w:val="76DD5C4C"/>
    <w:rsid w:val="7751028F"/>
    <w:rsid w:val="77ED4B1C"/>
    <w:rsid w:val="78A3510A"/>
    <w:rsid w:val="78E43421"/>
    <w:rsid w:val="7941147C"/>
    <w:rsid w:val="794F3C26"/>
    <w:rsid w:val="79DA3B58"/>
    <w:rsid w:val="79E76011"/>
    <w:rsid w:val="7AC16C55"/>
    <w:rsid w:val="7ADE0E8D"/>
    <w:rsid w:val="7B984B48"/>
    <w:rsid w:val="7B993EC1"/>
    <w:rsid w:val="7BD209F2"/>
    <w:rsid w:val="7BF104C9"/>
    <w:rsid w:val="7C1472FA"/>
    <w:rsid w:val="7C972A93"/>
    <w:rsid w:val="7D1C7A4B"/>
    <w:rsid w:val="7DE049A6"/>
    <w:rsid w:val="7E141324"/>
    <w:rsid w:val="7E145385"/>
    <w:rsid w:val="7E2117BD"/>
    <w:rsid w:val="7EA27BEB"/>
    <w:rsid w:val="7EC26EDD"/>
    <w:rsid w:val="7F4D5C77"/>
    <w:rsid w:val="7F660C7A"/>
    <w:rsid w:val="7F69605E"/>
    <w:rsid w:val="7FD1230A"/>
    <w:rsid w:val="7FE1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link w:val="35"/>
    <w:qFormat/>
    <w:uiPriority w:val="0"/>
    <w:pPr>
      <w:keepNext/>
      <w:keepLines/>
      <w:spacing w:before="280" w:after="290" w:line="376" w:lineRule="auto"/>
      <w:outlineLvl w:val="3"/>
    </w:pPr>
    <w:rPr>
      <w:rFonts w:ascii="Calibri Light" w:hAnsi="Calibri Light"/>
      <w:b/>
      <w:bCs/>
      <w:sz w:val="28"/>
      <w:szCs w:val="28"/>
    </w:rPr>
  </w:style>
  <w:style w:type="paragraph" w:styleId="6">
    <w:name w:val="heading 9"/>
    <w:basedOn w:val="1"/>
    <w:next w:val="7"/>
    <w:link w:val="36"/>
    <w:qFormat/>
    <w:uiPriority w:val="0"/>
    <w:pPr>
      <w:keepNext/>
      <w:keepLines/>
      <w:numPr>
        <w:ilvl w:val="0"/>
        <w:numId w:val="1"/>
      </w:numPr>
      <w:tabs>
        <w:tab w:val="left" w:pos="1080"/>
      </w:tabs>
      <w:spacing w:line="319" w:lineRule="auto"/>
      <w:ind w:left="1080" w:hanging="360"/>
      <w:outlineLvl w:val="8"/>
    </w:pPr>
    <w:rPr>
      <w:rFonts w:ascii="Arial" w:hAnsi="Arial" w:eastAsia="黑体"/>
      <w:sz w:val="24"/>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Normal Indent"/>
    <w:basedOn w:val="1"/>
    <w:qFormat/>
    <w:uiPriority w:val="0"/>
    <w:pPr>
      <w:ind w:firstLine="420" w:firstLineChars="200"/>
    </w:pPr>
  </w:style>
  <w:style w:type="paragraph" w:styleId="8">
    <w:name w:val="caption"/>
    <w:basedOn w:val="1"/>
    <w:next w:val="1"/>
    <w:qFormat/>
    <w:uiPriority w:val="0"/>
    <w:rPr>
      <w:rFonts w:ascii="Arial" w:hAnsi="Arial" w:eastAsia="黑体" w:cs="Arial"/>
      <w:snapToGrid w:val="0"/>
      <w:kern w:val="0"/>
      <w:sz w:val="20"/>
      <w:szCs w:val="20"/>
    </w:rPr>
  </w:style>
  <w:style w:type="paragraph" w:styleId="9">
    <w:name w:val="annotation text"/>
    <w:basedOn w:val="1"/>
    <w:link w:val="50"/>
    <w:unhideWhenUsed/>
    <w:qFormat/>
    <w:uiPriority w:val="99"/>
    <w:pPr>
      <w:jc w:val="left"/>
    </w:pPr>
  </w:style>
  <w:style w:type="paragraph" w:styleId="10">
    <w:name w:val="Salutation"/>
    <w:basedOn w:val="1"/>
    <w:next w:val="1"/>
    <w:link w:val="81"/>
    <w:qFormat/>
    <w:uiPriority w:val="0"/>
  </w:style>
  <w:style w:type="paragraph" w:styleId="11">
    <w:name w:val="Body Text"/>
    <w:basedOn w:val="1"/>
    <w:next w:val="1"/>
    <w:link w:val="42"/>
    <w:qFormat/>
    <w:uiPriority w:val="0"/>
    <w:pPr>
      <w:widowControl/>
      <w:snapToGrid w:val="0"/>
      <w:spacing w:before="60" w:after="160" w:line="259" w:lineRule="auto"/>
      <w:ind w:right="113"/>
    </w:pPr>
    <w:rPr>
      <w:kern w:val="0"/>
      <w:sz w:val="18"/>
      <w:szCs w:val="20"/>
    </w:rPr>
  </w:style>
  <w:style w:type="paragraph" w:styleId="12">
    <w:name w:val="Body Text Indent"/>
    <w:basedOn w:val="1"/>
    <w:next w:val="13"/>
    <w:link w:val="47"/>
    <w:qFormat/>
    <w:uiPriority w:val="0"/>
    <w:pPr>
      <w:spacing w:after="120"/>
      <w:ind w:left="420" w:leftChars="200"/>
    </w:pPr>
    <w:rPr>
      <w:kern w:val="0"/>
      <w:sz w:val="24"/>
      <w:szCs w:val="20"/>
    </w:rPr>
  </w:style>
  <w:style w:type="paragraph" w:styleId="13">
    <w:name w:val="envelope return"/>
    <w:basedOn w:val="1"/>
    <w:qFormat/>
    <w:uiPriority w:val="0"/>
    <w:pPr>
      <w:snapToGrid w:val="0"/>
    </w:pPr>
    <w:rPr>
      <w:rFonts w:ascii="Arial" w:hAnsi="Arial" w:cs="Arial"/>
    </w:rPr>
  </w:style>
  <w:style w:type="paragraph" w:styleId="14">
    <w:name w:val="Plain Text"/>
    <w:basedOn w:val="1"/>
    <w:next w:val="10"/>
    <w:link w:val="80"/>
    <w:unhideWhenUsed/>
    <w:qFormat/>
    <w:uiPriority w:val="0"/>
    <w:rPr>
      <w:rFonts w:ascii="宋体" w:hAnsi="Courier New" w:cs="Courier New"/>
      <w:b/>
      <w:bCs/>
      <w:spacing w:val="-6"/>
      <w:szCs w:val="21"/>
    </w:rPr>
  </w:style>
  <w:style w:type="paragraph" w:styleId="15">
    <w:name w:val="Date"/>
    <w:basedOn w:val="1"/>
    <w:next w:val="1"/>
    <w:link w:val="46"/>
    <w:qFormat/>
    <w:uiPriority w:val="0"/>
    <w:pPr>
      <w:ind w:left="100" w:leftChars="2500"/>
    </w:pPr>
    <w:rPr>
      <w:kern w:val="0"/>
      <w:sz w:val="24"/>
      <w:szCs w:val="20"/>
    </w:rPr>
  </w:style>
  <w:style w:type="paragraph" w:styleId="16">
    <w:name w:val="Body Text Indent 2"/>
    <w:basedOn w:val="1"/>
    <w:next w:val="17"/>
    <w:qFormat/>
    <w:uiPriority w:val="0"/>
    <w:pPr>
      <w:spacing w:after="120" w:line="480" w:lineRule="auto"/>
      <w:ind w:left="420" w:leftChars="200"/>
    </w:pPr>
  </w:style>
  <w:style w:type="paragraph" w:styleId="17">
    <w:name w:val="Body Text First Indent 2"/>
    <w:basedOn w:val="12"/>
    <w:next w:val="1"/>
    <w:qFormat/>
    <w:uiPriority w:val="0"/>
    <w:pPr>
      <w:ind w:firstLine="420" w:firstLineChars="200"/>
    </w:pPr>
  </w:style>
  <w:style w:type="paragraph" w:styleId="18">
    <w:name w:val="Balloon Text"/>
    <w:basedOn w:val="1"/>
    <w:link w:val="43"/>
    <w:qFormat/>
    <w:uiPriority w:val="0"/>
    <w:rPr>
      <w:kern w:val="0"/>
      <w:sz w:val="18"/>
      <w:szCs w:val="20"/>
    </w:rPr>
  </w:style>
  <w:style w:type="paragraph" w:styleId="19">
    <w:name w:val="footer"/>
    <w:basedOn w:val="1"/>
    <w:link w:val="37"/>
    <w:qFormat/>
    <w:uiPriority w:val="99"/>
    <w:pPr>
      <w:tabs>
        <w:tab w:val="center" w:pos="4153"/>
        <w:tab w:val="right" w:pos="8306"/>
      </w:tabs>
      <w:snapToGrid w:val="0"/>
      <w:jc w:val="left"/>
    </w:pPr>
    <w:rPr>
      <w:sz w:val="18"/>
      <w:szCs w:val="18"/>
    </w:rPr>
  </w:style>
  <w:style w:type="paragraph" w:styleId="20">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widowControl/>
      <w:spacing w:before="120" w:after="120" w:line="280" w:lineRule="exact"/>
      <w:jc w:val="center"/>
    </w:pPr>
    <w:rPr>
      <w:rFonts w:ascii="仿宋_GB2312" w:eastAsia="仿宋_GB2312"/>
      <w:caps/>
      <w:kern w:val="0"/>
    </w:rPr>
  </w:style>
  <w:style w:type="paragraph" w:styleId="22">
    <w:name w:val="Subtitle"/>
    <w:basedOn w:val="1"/>
    <w:next w:val="1"/>
    <w:link w:val="48"/>
    <w:qFormat/>
    <w:uiPriority w:val="11"/>
    <w:pPr>
      <w:spacing w:line="360" w:lineRule="auto"/>
    </w:pPr>
    <w:rPr>
      <w:rFonts w:eastAsia="黑体"/>
      <w:b/>
      <w:kern w:val="0"/>
      <w:sz w:val="24"/>
    </w:rPr>
  </w:style>
  <w:style w:type="paragraph" w:styleId="23">
    <w:name w:val="Body Text 2"/>
    <w:basedOn w:val="1"/>
    <w:link w:val="77"/>
    <w:qFormat/>
    <w:uiPriority w:val="0"/>
    <w:pPr>
      <w:spacing w:after="120" w:line="480" w:lineRule="auto"/>
    </w:pPr>
  </w:style>
  <w:style w:type="paragraph" w:styleId="24">
    <w:name w:val="Normal (Web)"/>
    <w:basedOn w:val="1"/>
    <w:link w:val="58"/>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9"/>
    <w:next w:val="9"/>
    <w:link w:val="49"/>
    <w:qFormat/>
    <w:uiPriority w:val="0"/>
    <w:rPr>
      <w:b/>
      <w:sz w:val="24"/>
      <w:szCs w:val="20"/>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unhideWhenUsed/>
    <w:qFormat/>
    <w:uiPriority w:val="0"/>
    <w:rPr>
      <w:color w:val="0000FF"/>
      <w:u w:val="single"/>
    </w:rPr>
  </w:style>
  <w:style w:type="character" w:styleId="33">
    <w:name w:val="annotation reference"/>
    <w:qFormat/>
    <w:uiPriority w:val="0"/>
    <w:rPr>
      <w:sz w:val="21"/>
    </w:rPr>
  </w:style>
  <w:style w:type="character" w:customStyle="1" w:styleId="34">
    <w:name w:val="标题 1 字符"/>
    <w:basedOn w:val="28"/>
    <w:link w:val="3"/>
    <w:qFormat/>
    <w:uiPriority w:val="99"/>
    <w:rPr>
      <w:b/>
      <w:bCs/>
      <w:kern w:val="44"/>
      <w:sz w:val="44"/>
      <w:szCs w:val="44"/>
    </w:rPr>
  </w:style>
  <w:style w:type="character" w:customStyle="1" w:styleId="35">
    <w:name w:val="标题 4 字符"/>
    <w:basedOn w:val="28"/>
    <w:link w:val="5"/>
    <w:qFormat/>
    <w:uiPriority w:val="0"/>
    <w:rPr>
      <w:rFonts w:ascii="Calibri Light" w:hAnsi="Calibri Light"/>
      <w:b/>
      <w:bCs/>
      <w:kern w:val="2"/>
      <w:sz w:val="28"/>
      <w:szCs w:val="28"/>
    </w:rPr>
  </w:style>
  <w:style w:type="character" w:customStyle="1" w:styleId="36">
    <w:name w:val="标题 9 字符"/>
    <w:basedOn w:val="28"/>
    <w:link w:val="6"/>
    <w:qFormat/>
    <w:uiPriority w:val="0"/>
    <w:rPr>
      <w:rFonts w:ascii="Arial" w:hAnsi="Arial" w:eastAsia="黑体"/>
      <w:kern w:val="2"/>
      <w:sz w:val="24"/>
    </w:rPr>
  </w:style>
  <w:style w:type="character" w:customStyle="1" w:styleId="37">
    <w:name w:val="页脚 字符1"/>
    <w:basedOn w:val="28"/>
    <w:link w:val="19"/>
    <w:qFormat/>
    <w:uiPriority w:val="99"/>
    <w:rPr>
      <w:kern w:val="2"/>
      <w:sz w:val="18"/>
      <w:szCs w:val="18"/>
    </w:rPr>
  </w:style>
  <w:style w:type="character" w:customStyle="1" w:styleId="38">
    <w:name w:val="页眉 字符"/>
    <w:basedOn w:val="28"/>
    <w:link w:val="20"/>
    <w:qFormat/>
    <w:uiPriority w:val="99"/>
    <w:rPr>
      <w:kern w:val="2"/>
      <w:sz w:val="18"/>
      <w:szCs w:val="18"/>
    </w:rPr>
  </w:style>
  <w:style w:type="paragraph" w:customStyle="1" w:styleId="39">
    <w:name w:val="表文lcc"/>
    <w:basedOn w:val="1"/>
    <w:qFormat/>
    <w:uiPriority w:val="0"/>
    <w:pPr>
      <w:widowControl/>
      <w:jc w:val="center"/>
    </w:pPr>
    <w:rPr>
      <w:rFonts w:eastAsia="仿宋_GB2312"/>
      <w:snapToGrid w:val="0"/>
      <w:kern w:val="0"/>
      <w:sz w:val="24"/>
    </w:rPr>
  </w:style>
  <w:style w:type="character" w:customStyle="1" w:styleId="40">
    <w:name w:val="样式1 Char"/>
    <w:link w:val="41"/>
    <w:qFormat/>
    <w:uiPriority w:val="0"/>
    <w:rPr>
      <w:kern w:val="28"/>
      <w:sz w:val="24"/>
      <w:szCs w:val="24"/>
    </w:rPr>
  </w:style>
  <w:style w:type="paragraph" w:customStyle="1" w:styleId="41">
    <w:name w:val="样式1"/>
    <w:basedOn w:val="1"/>
    <w:link w:val="40"/>
    <w:qFormat/>
    <w:uiPriority w:val="0"/>
    <w:pPr>
      <w:spacing w:line="500" w:lineRule="exact"/>
      <w:ind w:firstLine="200" w:firstLineChars="200"/>
    </w:pPr>
    <w:rPr>
      <w:kern w:val="28"/>
      <w:sz w:val="24"/>
    </w:rPr>
  </w:style>
  <w:style w:type="character" w:customStyle="1" w:styleId="42">
    <w:name w:val="正文文本 字符"/>
    <w:link w:val="11"/>
    <w:qFormat/>
    <w:locked/>
    <w:uiPriority w:val="0"/>
    <w:rPr>
      <w:sz w:val="18"/>
    </w:rPr>
  </w:style>
  <w:style w:type="character" w:customStyle="1" w:styleId="43">
    <w:name w:val="批注框文本 字符"/>
    <w:link w:val="18"/>
    <w:qFormat/>
    <w:locked/>
    <w:uiPriority w:val="0"/>
    <w:rPr>
      <w:sz w:val="18"/>
    </w:rPr>
  </w:style>
  <w:style w:type="character" w:customStyle="1" w:styleId="44">
    <w:name w:val="批注文字 Char"/>
    <w:qFormat/>
    <w:locked/>
    <w:uiPriority w:val="0"/>
    <w:rPr>
      <w:rFonts w:ascii="Times New Roman" w:hAnsi="Times New Roman" w:eastAsia="宋体"/>
      <w:sz w:val="24"/>
    </w:rPr>
  </w:style>
  <w:style w:type="character" w:customStyle="1" w:styleId="45">
    <w:name w:val="页脚 字符"/>
    <w:basedOn w:val="28"/>
    <w:qFormat/>
    <w:uiPriority w:val="99"/>
  </w:style>
  <w:style w:type="character" w:customStyle="1" w:styleId="46">
    <w:name w:val="日期 字符"/>
    <w:link w:val="15"/>
    <w:qFormat/>
    <w:locked/>
    <w:uiPriority w:val="0"/>
    <w:rPr>
      <w:sz w:val="24"/>
    </w:rPr>
  </w:style>
  <w:style w:type="character" w:customStyle="1" w:styleId="47">
    <w:name w:val="正文文本缩进 字符"/>
    <w:link w:val="12"/>
    <w:qFormat/>
    <w:locked/>
    <w:uiPriority w:val="0"/>
    <w:rPr>
      <w:sz w:val="24"/>
    </w:rPr>
  </w:style>
  <w:style w:type="character" w:customStyle="1" w:styleId="48">
    <w:name w:val="副标题 字符"/>
    <w:link w:val="22"/>
    <w:qFormat/>
    <w:uiPriority w:val="11"/>
    <w:rPr>
      <w:rFonts w:eastAsia="黑体"/>
      <w:b/>
      <w:sz w:val="24"/>
      <w:szCs w:val="24"/>
    </w:rPr>
  </w:style>
  <w:style w:type="character" w:customStyle="1" w:styleId="49">
    <w:name w:val="批注主题 字符"/>
    <w:link w:val="25"/>
    <w:qFormat/>
    <w:locked/>
    <w:uiPriority w:val="0"/>
    <w:rPr>
      <w:b/>
      <w:kern w:val="2"/>
      <w:sz w:val="24"/>
    </w:rPr>
  </w:style>
  <w:style w:type="character" w:customStyle="1" w:styleId="50">
    <w:name w:val="批注文字 字符"/>
    <w:basedOn w:val="28"/>
    <w:link w:val="9"/>
    <w:qFormat/>
    <w:uiPriority w:val="99"/>
    <w:rPr>
      <w:kern w:val="2"/>
      <w:sz w:val="21"/>
      <w:szCs w:val="24"/>
    </w:rPr>
  </w:style>
  <w:style w:type="character" w:customStyle="1" w:styleId="51">
    <w:name w:val="1正文段落 Char"/>
    <w:link w:val="52"/>
    <w:qFormat/>
    <w:uiPriority w:val="0"/>
    <w:rPr>
      <w:sz w:val="24"/>
      <w:szCs w:val="24"/>
    </w:rPr>
  </w:style>
  <w:style w:type="paragraph" w:customStyle="1" w:styleId="52">
    <w:name w:val="1正文段落"/>
    <w:basedOn w:val="1"/>
    <w:link w:val="51"/>
    <w:qFormat/>
    <w:uiPriority w:val="0"/>
    <w:pPr>
      <w:spacing w:line="360" w:lineRule="auto"/>
      <w:ind w:firstLine="480" w:firstLineChars="200"/>
      <w:jc w:val="left"/>
    </w:pPr>
    <w:rPr>
      <w:kern w:val="0"/>
      <w:sz w:val="24"/>
    </w:rPr>
  </w:style>
  <w:style w:type="character" w:customStyle="1" w:styleId="53">
    <w:name w:val="不明显参考1"/>
    <w:qFormat/>
    <w:uiPriority w:val="31"/>
    <w:rPr>
      <w:sz w:val="24"/>
    </w:rPr>
  </w:style>
  <w:style w:type="character" w:customStyle="1" w:styleId="54">
    <w:name w:val="表格 Char"/>
    <w:link w:val="55"/>
    <w:qFormat/>
    <w:locked/>
    <w:uiPriority w:val="0"/>
    <w:rPr>
      <w:rFonts w:ascii="宋体"/>
      <w:sz w:val="21"/>
    </w:rPr>
  </w:style>
  <w:style w:type="paragraph" w:customStyle="1" w:styleId="55">
    <w:name w:val="表格"/>
    <w:basedOn w:val="56"/>
    <w:next w:val="1"/>
    <w:link w:val="54"/>
    <w:qFormat/>
    <w:uiPriority w:val="0"/>
    <w:pPr>
      <w:adjustRightInd w:val="0"/>
      <w:snapToGrid w:val="0"/>
      <w:spacing w:beforeLines="10" w:afterLines="10" w:line="259" w:lineRule="auto"/>
      <w:jc w:val="center"/>
    </w:pPr>
    <w:rPr>
      <w:rFonts w:ascii="宋体"/>
      <w:kern w:val="0"/>
      <w:szCs w:val="20"/>
    </w:rPr>
  </w:style>
  <w:style w:type="paragraph" w:customStyle="1" w:styleId="56">
    <w:name w:val="表头"/>
    <w:basedOn w:val="1"/>
    <w:next w:val="1"/>
    <w:qFormat/>
    <w:uiPriority w:val="0"/>
    <w:pPr>
      <w:adjustRightInd w:val="0"/>
      <w:spacing w:line="320" w:lineRule="atLeast"/>
      <w:jc w:val="center"/>
    </w:pPr>
    <w:rPr>
      <w:rFonts w:ascii="黑体" w:hAnsi="黑体" w:eastAsia="黑体"/>
      <w:spacing w:val="-10"/>
      <w:kern w:val="0"/>
      <w:szCs w:val="20"/>
    </w:rPr>
  </w:style>
  <w:style w:type="character" w:customStyle="1" w:styleId="57">
    <w:name w:val="批注文字 字符1"/>
    <w:semiHidden/>
    <w:qFormat/>
    <w:uiPriority w:val="0"/>
    <w:rPr>
      <w:rFonts w:ascii="Times New Roman" w:hAnsi="Times New Roman" w:eastAsia="宋体"/>
      <w:sz w:val="24"/>
    </w:rPr>
  </w:style>
  <w:style w:type="character" w:customStyle="1" w:styleId="58">
    <w:name w:val="普通(网站) 字符"/>
    <w:link w:val="24"/>
    <w:qFormat/>
    <w:locked/>
    <w:uiPriority w:val="0"/>
    <w:rPr>
      <w:rFonts w:ascii="宋体" w:hAnsi="宋体"/>
      <w:sz w:val="24"/>
    </w:rPr>
  </w:style>
  <w:style w:type="character" w:customStyle="1" w:styleId="59">
    <w:name w:val="批注主题 Char1"/>
    <w:basedOn w:val="50"/>
    <w:qFormat/>
    <w:uiPriority w:val="0"/>
    <w:rPr>
      <w:b/>
      <w:bCs/>
      <w:kern w:val="2"/>
      <w:sz w:val="21"/>
      <w:szCs w:val="24"/>
    </w:rPr>
  </w:style>
  <w:style w:type="character" w:customStyle="1" w:styleId="60">
    <w:name w:val="日期 Char1"/>
    <w:basedOn w:val="28"/>
    <w:qFormat/>
    <w:uiPriority w:val="0"/>
    <w:rPr>
      <w:kern w:val="2"/>
      <w:sz w:val="21"/>
      <w:szCs w:val="24"/>
    </w:rPr>
  </w:style>
  <w:style w:type="character" w:customStyle="1" w:styleId="61">
    <w:name w:val="正文文本 Char1"/>
    <w:basedOn w:val="28"/>
    <w:qFormat/>
    <w:uiPriority w:val="0"/>
    <w:rPr>
      <w:kern w:val="2"/>
      <w:sz w:val="21"/>
      <w:szCs w:val="24"/>
    </w:rPr>
  </w:style>
  <w:style w:type="character" w:customStyle="1" w:styleId="62">
    <w:name w:val="正文文本缩进 Char1"/>
    <w:basedOn w:val="28"/>
    <w:qFormat/>
    <w:uiPriority w:val="0"/>
    <w:rPr>
      <w:kern w:val="2"/>
      <w:sz w:val="21"/>
      <w:szCs w:val="24"/>
    </w:rPr>
  </w:style>
  <w:style w:type="character" w:customStyle="1" w:styleId="63">
    <w:name w:val="副标题 Char1"/>
    <w:basedOn w:val="28"/>
    <w:qFormat/>
    <w:uiPriority w:val="11"/>
    <w:rPr>
      <w:rFonts w:asciiTheme="majorHAnsi" w:hAnsiTheme="majorHAnsi" w:cstheme="majorBidi"/>
      <w:b/>
      <w:bCs/>
      <w:kern w:val="28"/>
      <w:sz w:val="32"/>
      <w:szCs w:val="32"/>
    </w:rPr>
  </w:style>
  <w:style w:type="character" w:customStyle="1" w:styleId="64">
    <w:name w:val="批注框文本 Char1"/>
    <w:basedOn w:val="28"/>
    <w:qFormat/>
    <w:uiPriority w:val="0"/>
    <w:rPr>
      <w:kern w:val="2"/>
      <w:sz w:val="18"/>
      <w:szCs w:val="18"/>
    </w:rPr>
  </w:style>
  <w:style w:type="paragraph" w:customStyle="1" w:styleId="6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小四"/>
    <w:basedOn w:val="1"/>
    <w:qFormat/>
    <w:uiPriority w:val="0"/>
    <w:pPr>
      <w:spacing w:line="360" w:lineRule="auto"/>
    </w:pPr>
    <w:rPr>
      <w:snapToGrid w:val="0"/>
      <w:kern w:val="0"/>
      <w:sz w:val="24"/>
      <w:szCs w:val="20"/>
    </w:rPr>
  </w:style>
  <w:style w:type="paragraph" w:customStyle="1" w:styleId="67">
    <w:name w:val="Table Paragraph"/>
    <w:basedOn w:val="1"/>
    <w:qFormat/>
    <w:uiPriority w:val="0"/>
    <w:pPr>
      <w:autoSpaceDE w:val="0"/>
      <w:autoSpaceDN w:val="0"/>
      <w:jc w:val="left"/>
    </w:pPr>
    <w:rPr>
      <w:rFonts w:ascii="宋体" w:hAnsi="宋体" w:cs="宋体"/>
      <w:kern w:val="0"/>
      <w:sz w:val="22"/>
      <w:szCs w:val="22"/>
      <w:lang w:val="zh-CN" w:bidi="zh-CN"/>
    </w:rPr>
  </w:style>
  <w:style w:type="paragraph" w:styleId="68">
    <w:name w:val="List Paragraph"/>
    <w:basedOn w:val="1"/>
    <w:qFormat/>
    <w:uiPriority w:val="99"/>
    <w:pPr>
      <w:ind w:firstLine="420" w:firstLineChars="200"/>
    </w:pPr>
    <w:rPr>
      <w:snapToGrid w:val="0"/>
      <w:kern w:val="0"/>
      <w:sz w:val="24"/>
    </w:rPr>
  </w:style>
  <w:style w:type="paragraph" w:customStyle="1" w:styleId="69">
    <w:name w:val="正本文字"/>
    <w:unhideWhenUsed/>
    <w:qFormat/>
    <w:uiPriority w:val="0"/>
    <w:pPr>
      <w:widowControl w:val="0"/>
      <w:adjustRightInd w:val="0"/>
      <w:snapToGrid w:val="0"/>
      <w:spacing w:line="360" w:lineRule="auto"/>
      <w:ind w:firstLine="480" w:firstLineChars="200"/>
    </w:pPr>
    <w:rPr>
      <w:rFonts w:ascii="Times New Roman" w:hAnsi="Times New Roman" w:eastAsia="宋体" w:cs="Times New Roman"/>
      <w:kern w:val="18"/>
      <w:sz w:val="24"/>
      <w:lang w:val="en-US" w:eastAsia="zh-CN" w:bidi="ar-SA"/>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71">
    <w:name w:val="标题 2 字符"/>
    <w:basedOn w:val="28"/>
    <w:link w:val="4"/>
    <w:qFormat/>
    <w:uiPriority w:val="0"/>
    <w:rPr>
      <w:rFonts w:asciiTheme="majorHAnsi" w:hAnsiTheme="majorHAnsi" w:eastAsiaTheme="majorEastAsia" w:cstheme="majorBidi"/>
      <w:b/>
      <w:bCs/>
      <w:kern w:val="2"/>
      <w:sz w:val="32"/>
      <w:szCs w:val="32"/>
    </w:rPr>
  </w:style>
  <w:style w:type="paragraph" w:customStyle="1" w:styleId="72">
    <w:name w:val="样式3"/>
    <w:basedOn w:val="1"/>
    <w:qFormat/>
    <w:uiPriority w:val="0"/>
    <w:pPr>
      <w:autoSpaceDE w:val="0"/>
      <w:autoSpaceDN w:val="0"/>
      <w:snapToGrid w:val="0"/>
      <w:spacing w:before="120" w:line="460" w:lineRule="atLeast"/>
      <w:jc w:val="center"/>
    </w:pPr>
    <w:rPr>
      <w:rFonts w:eastAsia="黑体"/>
      <w:sz w:val="28"/>
    </w:rPr>
  </w:style>
  <w:style w:type="character" w:customStyle="1" w:styleId="73">
    <w:name w:val="font21"/>
    <w:basedOn w:val="28"/>
    <w:qFormat/>
    <w:uiPriority w:val="0"/>
    <w:rPr>
      <w:rFonts w:hint="default" w:ascii="Times New Roman" w:hAnsi="Times New Roman" w:cs="Times New Roman"/>
      <w:color w:val="000000"/>
      <w:sz w:val="18"/>
      <w:szCs w:val="18"/>
      <w:u w:val="none"/>
    </w:rPr>
  </w:style>
  <w:style w:type="character" w:customStyle="1" w:styleId="74">
    <w:name w:val="font11"/>
    <w:basedOn w:val="28"/>
    <w:qFormat/>
    <w:uiPriority w:val="0"/>
    <w:rPr>
      <w:rFonts w:hint="eastAsia" w:ascii="宋体" w:hAnsi="宋体" w:eastAsia="宋体"/>
      <w:color w:val="000000"/>
      <w:sz w:val="18"/>
      <w:szCs w:val="18"/>
      <w:u w:val="none"/>
    </w:rPr>
  </w:style>
  <w:style w:type="character" w:customStyle="1" w:styleId="75">
    <w:name w:val="font41"/>
    <w:basedOn w:val="28"/>
    <w:qFormat/>
    <w:uiPriority w:val="0"/>
    <w:rPr>
      <w:rFonts w:hint="eastAsia" w:ascii="宋体" w:hAnsi="宋体" w:eastAsia="宋体"/>
      <w:color w:val="000000"/>
      <w:sz w:val="18"/>
      <w:szCs w:val="18"/>
      <w:u w:val="none"/>
    </w:rPr>
  </w:style>
  <w:style w:type="character" w:customStyle="1" w:styleId="76">
    <w:name w:val="font31"/>
    <w:basedOn w:val="28"/>
    <w:qFormat/>
    <w:uiPriority w:val="0"/>
    <w:rPr>
      <w:rFonts w:hint="eastAsia" w:ascii="宋体" w:hAnsi="宋体" w:eastAsia="宋体"/>
      <w:color w:val="000000"/>
      <w:sz w:val="18"/>
      <w:szCs w:val="18"/>
      <w:u w:val="none"/>
    </w:rPr>
  </w:style>
  <w:style w:type="character" w:customStyle="1" w:styleId="77">
    <w:name w:val="正文文本 2 字符"/>
    <w:basedOn w:val="28"/>
    <w:link w:val="23"/>
    <w:qFormat/>
    <w:uiPriority w:val="0"/>
    <w:rPr>
      <w:kern w:val="2"/>
      <w:sz w:val="21"/>
      <w:szCs w:val="24"/>
    </w:rPr>
  </w:style>
  <w:style w:type="character" w:customStyle="1" w:styleId="78">
    <w:name w:val="Body text|1_"/>
    <w:basedOn w:val="28"/>
    <w:link w:val="79"/>
    <w:qFormat/>
    <w:uiPriority w:val="0"/>
    <w:rPr>
      <w:rFonts w:ascii="MingLiU" w:hAnsi="MingLiU" w:eastAsia="MingLiU" w:cs="MingLiU"/>
      <w:sz w:val="19"/>
      <w:szCs w:val="19"/>
      <w:lang w:val="zh-TW" w:eastAsia="zh-TW" w:bidi="zh-TW"/>
    </w:rPr>
  </w:style>
  <w:style w:type="paragraph" w:customStyle="1" w:styleId="79">
    <w:name w:val="Body text|1"/>
    <w:basedOn w:val="1"/>
    <w:link w:val="78"/>
    <w:qFormat/>
    <w:uiPriority w:val="0"/>
    <w:pPr>
      <w:spacing w:line="403" w:lineRule="auto"/>
      <w:ind w:firstLine="400"/>
      <w:jc w:val="left"/>
    </w:pPr>
    <w:rPr>
      <w:rFonts w:ascii="MingLiU" w:hAnsi="MingLiU" w:eastAsia="MingLiU" w:cs="MingLiU"/>
      <w:kern w:val="0"/>
      <w:sz w:val="19"/>
      <w:szCs w:val="19"/>
      <w:lang w:val="zh-TW" w:eastAsia="zh-TW" w:bidi="zh-TW"/>
    </w:rPr>
  </w:style>
  <w:style w:type="character" w:customStyle="1" w:styleId="80">
    <w:name w:val="纯文本 字符"/>
    <w:basedOn w:val="28"/>
    <w:link w:val="14"/>
    <w:qFormat/>
    <w:uiPriority w:val="0"/>
    <w:rPr>
      <w:rFonts w:ascii="宋体" w:hAnsi="Courier New" w:cs="Courier New"/>
      <w:b/>
      <w:bCs/>
      <w:spacing w:val="-6"/>
      <w:kern w:val="2"/>
      <w:sz w:val="21"/>
      <w:szCs w:val="21"/>
    </w:rPr>
  </w:style>
  <w:style w:type="character" w:customStyle="1" w:styleId="81">
    <w:name w:val="称呼 字符"/>
    <w:basedOn w:val="28"/>
    <w:link w:val="10"/>
    <w:qFormat/>
    <w:uiPriority w:val="0"/>
    <w:rPr>
      <w:kern w:val="2"/>
      <w:sz w:val="21"/>
      <w:szCs w:val="24"/>
    </w:rPr>
  </w:style>
  <w:style w:type="paragraph" w:customStyle="1" w:styleId="82">
    <w:name w:val="xl24"/>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83">
    <w:name w:val="报告书正文"/>
    <w:basedOn w:val="1"/>
    <w:qFormat/>
    <w:uiPriority w:val="0"/>
    <w:pPr>
      <w:spacing w:line="360" w:lineRule="auto"/>
      <w:ind w:firstLine="560" w:firstLineChars="200"/>
    </w:pPr>
    <w:rPr>
      <w:rFonts w:ascii="宋体" w:hAnsi="宋体"/>
      <w:kern w:val="0"/>
      <w:sz w:val="28"/>
    </w:rPr>
  </w:style>
  <w:style w:type="paragraph" w:customStyle="1" w:styleId="84">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85">
    <w:name w:val="报告表表格"/>
    <w:basedOn w:val="1"/>
    <w:qFormat/>
    <w:uiPriority w:val="0"/>
    <w:pPr>
      <w:spacing w:line="360" w:lineRule="exact"/>
      <w:jc w:val="center"/>
    </w:pPr>
    <w:rPr>
      <w:rFonts w:ascii="Arial" w:hAnsi="Arial" w:eastAsia="宋体" w:cs="Arial"/>
      <w:color w:val="008000"/>
      <w:szCs w:val="21"/>
    </w:rPr>
  </w:style>
  <w:style w:type="paragraph" w:customStyle="1" w:styleId="86">
    <w:name w:val="表体"/>
    <w:qFormat/>
    <w:uiPriority w:val="0"/>
    <w:pPr>
      <w:jc w:val="center"/>
    </w:pPr>
    <w:rPr>
      <w:rFonts w:ascii="宋体" w:hAnsi="宋体" w:eastAsia="宋体" w:cs="Times New Roman"/>
      <w:color w:val="00008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jpe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47B4D2-0BEC-4288-8E77-C033C5D17F5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7772</Words>
  <Characters>8329</Characters>
  <Lines>361</Lines>
  <Paragraphs>101</Paragraphs>
  <TotalTime>8</TotalTime>
  <ScaleCrop>false</ScaleCrop>
  <LinksUpToDate>false</LinksUpToDate>
  <CharactersWithSpaces>8453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2022-06-27T01:17:00Z</dcterms:created>
  <dc:creator>cooki</dc:creator>
  <cp:lastModifiedBy>无事勿扰</cp:lastModifiedBy>
  <cp:lastPrinted>2022-09-07T01:58:00Z</cp:lastPrinted>
  <dcterms:modified xsi:type="dcterms:W3CDTF">2025-03-19T09:03:43Z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409079152_btnclosed</vt:lpwstr>
  </property>
  <property fmtid="{D5CDD505-2E9C-101B-9397-08002B2CF9AE}" pid="4" name="ICV">
    <vt:lpwstr>005638C0A3F84EA4B1C0FA5C4BFBC824</vt:lpwstr>
  </property>
  <property fmtid="{D5CDD505-2E9C-101B-9397-08002B2CF9AE}" pid="5" name="KSOTemplateDocerSaveRecord">
    <vt:lpwstr>eyJoZGlkIjoiZGI0NDM4ZWE0OWE2ZDVkMWE4Mjk5ZDRmMTY2MGJhMTIiLCJ1c2VySWQiOiI1ODE5MDUyNjYifQ==</vt:lpwstr>
  </property>
</Properties>
</file>