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038F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jc w:val="center"/>
        <w:textAlignment w:val="auto"/>
        <w:outlineLvl w:val="0"/>
        <w:rPr>
          <w:rFonts w:hint="default" w:ascii="宋体" w:hAnsi="宋体" w:eastAsia="宋体" w:cs="宋体"/>
          <w:b/>
          <w:bCs/>
          <w:color w:val="000000"/>
          <w:kern w:val="0"/>
          <w:sz w:val="32"/>
          <w:szCs w:val="32"/>
          <w:highlight w:val="none"/>
          <w:lang w:val="en-US" w:eastAsia="zh-CN"/>
        </w:rPr>
      </w:pPr>
      <w:r>
        <w:rPr>
          <w:rFonts w:hint="eastAsia" w:ascii="宋体" w:hAnsi="宋体" w:eastAsia="宋体" w:cs="宋体"/>
          <w:b/>
          <w:bCs/>
          <w:color w:val="000000"/>
          <w:kern w:val="0"/>
          <w:sz w:val="32"/>
          <w:szCs w:val="32"/>
          <w:highlight w:val="none"/>
          <w:lang w:val="en-US" w:eastAsia="zh-CN"/>
        </w:rPr>
        <w:t>附件格式（仅供参考）</w:t>
      </w:r>
    </w:p>
    <w:p w14:paraId="5BCC36D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jc w:val="center"/>
        <w:textAlignment w:val="auto"/>
        <w:outlineLvl w:val="0"/>
        <w:rPr>
          <w:rFonts w:hint="eastAsia" w:ascii="方正兰亭大黑简体" w:hAnsi="方正兰亭大黑简体" w:eastAsia="方正兰亭大黑简体" w:cs="方正兰亭大黑简体"/>
          <w:b/>
          <w:bCs/>
          <w:color w:val="000000"/>
          <w:kern w:val="0"/>
          <w:sz w:val="36"/>
          <w:szCs w:val="36"/>
          <w:highlight w:val="none"/>
          <w:lang w:val="zh-CN" w:eastAsia="zh-CN"/>
        </w:rPr>
      </w:pPr>
      <w:r>
        <w:rPr>
          <w:rFonts w:hint="eastAsia" w:ascii="方正兰亭大黑简体" w:hAnsi="方正兰亭大黑简体" w:eastAsia="方正兰亭大黑简体" w:cs="方正兰亭大黑简体"/>
          <w:b/>
          <w:bCs/>
          <w:color w:val="000000"/>
          <w:kern w:val="0"/>
          <w:sz w:val="36"/>
          <w:szCs w:val="36"/>
          <w:highlight w:val="none"/>
          <w:lang w:val="en-US" w:eastAsia="zh-CN"/>
        </w:rPr>
        <w:t>XXX</w:t>
      </w:r>
      <w:r>
        <w:rPr>
          <w:rFonts w:hint="eastAsia" w:ascii="方正兰亭大黑简体" w:hAnsi="方正兰亭大黑简体" w:eastAsia="方正兰亭大黑简体" w:cs="方正兰亭大黑简体"/>
          <w:b/>
          <w:bCs/>
          <w:color w:val="000000"/>
          <w:kern w:val="0"/>
          <w:sz w:val="36"/>
          <w:szCs w:val="36"/>
          <w:highlight w:val="none"/>
          <w:lang w:val="zh-CN" w:eastAsia="zh-CN"/>
        </w:rPr>
        <w:t>项目</w:t>
      </w:r>
    </w:p>
    <w:p w14:paraId="537BEF13">
      <w:pPr>
        <w:jc w:val="both"/>
        <w:rPr>
          <w:rFonts w:hint="eastAsia" w:ascii="方正兰亭大黑简体" w:hAnsi="方正兰亭大黑简体" w:eastAsia="方正兰亭大黑简体" w:cs="方正兰亭大黑简体"/>
          <w:sz w:val="20"/>
        </w:rPr>
      </w:pPr>
    </w:p>
    <w:p w14:paraId="51EA3A93">
      <w:pPr>
        <w:jc w:val="both"/>
        <w:rPr>
          <w:rFonts w:hint="eastAsia" w:ascii="方正兰亭大黑简体" w:hAnsi="方正兰亭大黑简体" w:eastAsia="方正兰亭大黑简体" w:cs="方正兰亭大黑简体"/>
          <w:sz w:val="20"/>
        </w:rPr>
      </w:pPr>
    </w:p>
    <w:p w14:paraId="32DC88A2">
      <w:pPr>
        <w:jc w:val="center"/>
        <w:rPr>
          <w:rFonts w:hint="eastAsia" w:ascii="方正兰亭大黑简体" w:hAnsi="方正兰亭大黑简体" w:eastAsia="方正兰亭大黑简体" w:cs="方正兰亭大黑简体"/>
          <w:sz w:val="72"/>
          <w:szCs w:val="72"/>
        </w:rPr>
      </w:pPr>
      <w:r>
        <w:rPr>
          <w:rFonts w:hint="eastAsia" w:ascii="方正兰亭大黑简体" w:hAnsi="方正兰亭大黑简体" w:eastAsia="方正兰亭大黑简体" w:cs="方正兰亭大黑简体"/>
          <w:sz w:val="72"/>
          <w:szCs w:val="72"/>
        </w:rPr>
        <w:t>报</w:t>
      </w:r>
    </w:p>
    <w:p w14:paraId="7E795DD8">
      <w:pPr>
        <w:jc w:val="center"/>
        <w:rPr>
          <w:rFonts w:hint="eastAsia" w:ascii="方正兰亭大黑简体" w:hAnsi="方正兰亭大黑简体" w:eastAsia="方正兰亭大黑简体" w:cs="方正兰亭大黑简体"/>
          <w:sz w:val="72"/>
          <w:szCs w:val="72"/>
        </w:rPr>
      </w:pPr>
      <w:r>
        <w:rPr>
          <w:rFonts w:hint="eastAsia" w:ascii="方正兰亭大黑简体" w:hAnsi="方正兰亭大黑简体" w:eastAsia="方正兰亭大黑简体" w:cs="方正兰亭大黑简体"/>
          <w:sz w:val="72"/>
          <w:szCs w:val="72"/>
        </w:rPr>
        <w:t>价</w:t>
      </w:r>
    </w:p>
    <w:p w14:paraId="7231D3CF">
      <w:pPr>
        <w:jc w:val="center"/>
        <w:rPr>
          <w:rFonts w:hint="eastAsia" w:ascii="方正兰亭大黑简体" w:hAnsi="方正兰亭大黑简体" w:eastAsia="方正兰亭大黑简体" w:cs="方正兰亭大黑简体"/>
          <w:sz w:val="72"/>
          <w:szCs w:val="72"/>
        </w:rPr>
      </w:pPr>
      <w:r>
        <w:rPr>
          <w:rFonts w:hint="eastAsia" w:ascii="方正兰亭大黑简体" w:hAnsi="方正兰亭大黑简体" w:eastAsia="方正兰亭大黑简体" w:cs="方正兰亭大黑简体"/>
          <w:sz w:val="72"/>
          <w:szCs w:val="72"/>
        </w:rPr>
        <w:t>文</w:t>
      </w:r>
    </w:p>
    <w:p w14:paraId="5D6D7F65">
      <w:pPr>
        <w:jc w:val="center"/>
        <w:rPr>
          <w:rFonts w:hint="eastAsia" w:ascii="方正兰亭大黑简体" w:hAnsi="方正兰亭大黑简体" w:eastAsia="方正兰亭大黑简体" w:cs="方正兰亭大黑简体"/>
          <w:sz w:val="21"/>
          <w:szCs w:val="28"/>
        </w:rPr>
      </w:pPr>
      <w:r>
        <w:rPr>
          <w:rFonts w:hint="eastAsia" w:ascii="方正兰亭大黑简体" w:hAnsi="方正兰亭大黑简体" w:eastAsia="方正兰亭大黑简体" w:cs="方正兰亭大黑简体"/>
          <w:sz w:val="72"/>
          <w:szCs w:val="72"/>
        </w:rPr>
        <w:t>件</w:t>
      </w:r>
    </w:p>
    <w:p w14:paraId="47BEDA6E">
      <w:pPr>
        <w:jc w:val="both"/>
        <w:rPr>
          <w:rFonts w:hint="eastAsia" w:ascii="方正兰亭大黑简体" w:hAnsi="方正兰亭大黑简体" w:eastAsia="方正兰亭大黑简体" w:cs="方正兰亭大黑简体"/>
          <w:sz w:val="20"/>
        </w:rPr>
      </w:pPr>
    </w:p>
    <w:p w14:paraId="4BD2511B">
      <w:pPr>
        <w:jc w:val="both"/>
        <w:rPr>
          <w:rFonts w:hint="eastAsia" w:ascii="方正兰亭大黑简体" w:hAnsi="方正兰亭大黑简体" w:eastAsia="方正兰亭大黑简体" w:cs="方正兰亭大黑简体"/>
          <w:sz w:val="20"/>
        </w:rPr>
      </w:pPr>
    </w:p>
    <w:p w14:paraId="5D59C043">
      <w:pPr>
        <w:jc w:val="both"/>
        <w:rPr>
          <w:rFonts w:hint="eastAsia" w:ascii="方正兰亭大黑简体" w:hAnsi="方正兰亭大黑简体" w:eastAsia="方正兰亭大黑简体" w:cs="方正兰亭大黑简体"/>
          <w:sz w:val="20"/>
        </w:rPr>
      </w:pPr>
    </w:p>
    <w:p w14:paraId="4C872F51">
      <w:pPr>
        <w:jc w:val="both"/>
        <w:rPr>
          <w:rFonts w:hint="eastAsia" w:ascii="方正兰亭大黑简体" w:hAnsi="方正兰亭大黑简体" w:eastAsia="方正兰亭大黑简体" w:cs="方正兰亭大黑简体"/>
          <w:sz w:val="20"/>
        </w:rPr>
      </w:pPr>
    </w:p>
    <w:p w14:paraId="5FB5BA2E">
      <w:pPr>
        <w:jc w:val="both"/>
        <w:rPr>
          <w:rFonts w:hint="eastAsia" w:ascii="方正兰亭大黑简体" w:hAnsi="方正兰亭大黑简体" w:eastAsia="方正兰亭大黑简体" w:cs="方正兰亭大黑简体"/>
          <w:sz w:val="20"/>
        </w:rPr>
      </w:pPr>
    </w:p>
    <w:p w14:paraId="37B33A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_GB2312" w:hAnsi="楷体_GB2312" w:eastAsia="楷体_GB2312" w:cs="楷体_GB2312"/>
          <w:b/>
          <w:bCs/>
          <w:sz w:val="28"/>
          <w:szCs w:val="28"/>
          <w:u w:val="single"/>
        </w:rPr>
      </w:pPr>
      <w:r>
        <w:rPr>
          <w:rFonts w:hint="eastAsia" w:ascii="楷体_GB2312" w:hAnsi="楷体_GB2312" w:eastAsia="楷体_GB2312" w:cs="楷体_GB2312"/>
          <w:b/>
          <w:bCs/>
          <w:sz w:val="28"/>
          <w:szCs w:val="28"/>
        </w:rPr>
        <w:t>报价</w:t>
      </w:r>
      <w:r>
        <w:rPr>
          <w:rFonts w:hint="eastAsia" w:ascii="楷体_GB2312" w:hAnsi="楷体_GB2312" w:eastAsia="楷体_GB2312" w:cs="楷体_GB2312"/>
          <w:b/>
          <w:bCs/>
          <w:sz w:val="28"/>
          <w:szCs w:val="28"/>
          <w:lang w:val="en-US" w:eastAsia="zh-CN"/>
        </w:rPr>
        <w:t>人</w:t>
      </w:r>
      <w:r>
        <w:rPr>
          <w:rFonts w:hint="eastAsia" w:ascii="楷体_GB2312" w:hAnsi="楷体_GB2312" w:eastAsia="楷体_GB2312" w:cs="楷体_GB2312"/>
          <w:b/>
          <w:bCs/>
          <w:sz w:val="28"/>
          <w:szCs w:val="28"/>
        </w:rPr>
        <w:t>：</w:t>
      </w:r>
      <w:r>
        <w:rPr>
          <w:rFonts w:hint="eastAsia" w:ascii="楷体_GB2312" w:hAnsi="楷体_GB2312" w:eastAsia="楷体_GB2312" w:cs="楷体_GB2312"/>
          <w:b/>
          <w:bCs/>
          <w:sz w:val="28"/>
          <w:szCs w:val="28"/>
          <w:u w:val="single"/>
        </w:rPr>
        <w:t xml:space="preserve">                              </w:t>
      </w:r>
      <w:r>
        <w:rPr>
          <w:rFonts w:hint="eastAsia" w:ascii="楷体_GB2312" w:hAnsi="楷体_GB2312" w:eastAsia="楷体_GB2312" w:cs="楷体_GB2312"/>
          <w:b/>
          <w:bCs/>
          <w:sz w:val="28"/>
          <w:szCs w:val="28"/>
        </w:rPr>
        <w:t>（盖单位章）</w:t>
      </w:r>
    </w:p>
    <w:p w14:paraId="137E3DD1">
      <w:pPr>
        <w:jc w:val="both"/>
        <w:rPr>
          <w:rFonts w:hint="eastAsia" w:ascii="方正兰亭大黑简体" w:hAnsi="方正兰亭大黑简体" w:eastAsia="方正兰亭大黑简体" w:cs="方正兰亭大黑简体"/>
          <w:sz w:val="24"/>
        </w:rPr>
      </w:pPr>
    </w:p>
    <w:p w14:paraId="6B2D8C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 xml:space="preserve">       年        月        日</w:t>
      </w:r>
    </w:p>
    <w:p w14:paraId="6A74C16D">
      <w:pPr>
        <w:jc w:val="both"/>
        <w:rPr>
          <w:rFonts w:hint="eastAsia" w:ascii="楷体_GB2312" w:hAnsi="楷体_GB2312" w:eastAsia="楷体_GB2312" w:cs="楷体_GB2312"/>
          <w:b/>
          <w:bCs/>
          <w:color w:val="000000"/>
          <w:kern w:val="0"/>
          <w:sz w:val="28"/>
          <w:szCs w:val="28"/>
          <w:lang w:val="en-US" w:eastAsia="zh-CN"/>
        </w:rPr>
      </w:pPr>
      <w:r>
        <w:rPr>
          <w:rFonts w:hint="eastAsia" w:ascii="方正兰亭大黑简体" w:hAnsi="方正兰亭大黑简体" w:eastAsia="方正兰亭大黑简体" w:cs="方正兰亭大黑简体"/>
          <w:sz w:val="48"/>
          <w:szCs w:val="48"/>
        </w:rPr>
        <w:br w:type="page"/>
      </w:r>
      <w:r>
        <w:rPr>
          <w:rFonts w:hint="eastAsia" w:ascii="楷体_GB2312" w:hAnsi="楷体_GB2312" w:eastAsia="楷体_GB2312" w:cs="楷体_GB2312"/>
          <w:b/>
          <w:bCs/>
          <w:color w:val="000000"/>
          <w:kern w:val="0"/>
          <w:sz w:val="28"/>
          <w:szCs w:val="28"/>
          <w:lang w:val="en-US" w:eastAsia="zh-CN"/>
        </w:rPr>
        <w:t>一、营业执照</w:t>
      </w:r>
    </w:p>
    <w:p w14:paraId="79124FFF">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360" w:lineRule="auto"/>
        <w:jc w:val="left"/>
        <w:textAlignment w:val="auto"/>
        <w:outlineLvl w:val="1"/>
        <w:rPr>
          <w:rFonts w:hint="eastAsia" w:ascii="仿宋_GB2312" w:hAnsi="宋体" w:eastAsia="仿宋_GB2312" w:cs="仿宋_GB2312"/>
          <w:b/>
          <w:bCs/>
          <w:color w:val="000000"/>
          <w:kern w:val="0"/>
          <w:sz w:val="30"/>
          <w:szCs w:val="30"/>
          <w:lang w:val="en-US" w:eastAsia="zh-CN"/>
        </w:rPr>
      </w:pPr>
    </w:p>
    <w:p w14:paraId="1679D08B">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360" w:lineRule="auto"/>
        <w:jc w:val="left"/>
        <w:textAlignment w:val="auto"/>
        <w:outlineLvl w:val="1"/>
        <w:rPr>
          <w:rFonts w:hint="eastAsia" w:ascii="仿宋_GB2312" w:hAnsi="宋体" w:eastAsia="仿宋_GB2312" w:cs="仿宋_GB2312"/>
          <w:b/>
          <w:bCs/>
          <w:color w:val="000000"/>
          <w:kern w:val="0"/>
          <w:sz w:val="30"/>
          <w:szCs w:val="30"/>
          <w:lang w:val="en-US" w:eastAsia="zh-CN"/>
        </w:rPr>
      </w:pPr>
    </w:p>
    <w:p w14:paraId="59E671F5">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360" w:lineRule="auto"/>
        <w:jc w:val="left"/>
        <w:textAlignment w:val="auto"/>
        <w:outlineLvl w:val="1"/>
        <w:rPr>
          <w:rFonts w:hint="eastAsia" w:ascii="仿宋_GB2312" w:hAnsi="宋体" w:eastAsia="仿宋_GB2312" w:cs="仿宋_GB2312"/>
          <w:b/>
          <w:bCs/>
          <w:color w:val="000000"/>
          <w:kern w:val="0"/>
          <w:sz w:val="30"/>
          <w:szCs w:val="30"/>
          <w:lang w:val="en-US" w:eastAsia="zh-CN"/>
        </w:rPr>
      </w:pPr>
    </w:p>
    <w:p w14:paraId="47BF6197">
      <w:pPr>
        <w:keepNext w:val="0"/>
        <w:keepLines w:val="0"/>
        <w:pageBreakBefore w:val="0"/>
        <w:widowControl/>
        <w:shd w:val="clear" w:color="auto" w:fill="FFFFFF"/>
        <w:kinsoku/>
        <w:wordWrap/>
        <w:overflowPunct/>
        <w:topLinePunct w:val="0"/>
        <w:autoSpaceDE/>
        <w:autoSpaceDN/>
        <w:bidi w:val="0"/>
        <w:adjustRightInd w:val="0"/>
        <w:snapToGrid/>
        <w:spacing w:line="360" w:lineRule="auto"/>
        <w:jc w:val="left"/>
        <w:textAlignment w:val="auto"/>
        <w:outlineLvl w:val="9"/>
        <w:rPr>
          <w:rFonts w:hint="eastAsia" w:ascii="宋体" w:hAnsi="宋体" w:eastAsia="宋体"/>
          <w:b/>
          <w:color w:val="auto"/>
          <w:sz w:val="24"/>
          <w:highlight w:val="none"/>
        </w:rPr>
      </w:pPr>
      <w:bookmarkStart w:id="0" w:name="_Toc4288"/>
      <w:bookmarkStart w:id="1" w:name="_Toc5881"/>
      <w:bookmarkStart w:id="2" w:name="_Toc461053086"/>
      <w:bookmarkStart w:id="3" w:name="_Toc461056631"/>
      <w:bookmarkStart w:id="4" w:name="_Toc26791"/>
      <w:bookmarkStart w:id="5" w:name="_Toc520983587"/>
    </w:p>
    <w:bookmarkEnd w:id="0"/>
    <w:bookmarkEnd w:id="1"/>
    <w:bookmarkEnd w:id="2"/>
    <w:bookmarkEnd w:id="3"/>
    <w:bookmarkEnd w:id="4"/>
    <w:bookmarkEnd w:id="5"/>
    <w:p w14:paraId="59CA198D">
      <w:pPr>
        <w:spacing w:line="360" w:lineRule="auto"/>
        <w:jc w:val="center"/>
        <w:outlineLvl w:val="1"/>
        <w:rPr>
          <w:rFonts w:hint="eastAsia" w:ascii="宋体" w:hAnsi="宋体" w:eastAsia="宋体"/>
          <w:b/>
          <w:color w:val="auto"/>
          <w:sz w:val="24"/>
          <w:highlight w:val="none"/>
          <w:lang w:val="en-US" w:eastAsia="zh-CN"/>
        </w:rPr>
        <w:sectPr>
          <w:pgSz w:w="11906" w:h="16838"/>
          <w:pgMar w:top="1440" w:right="1797" w:bottom="1440" w:left="1797" w:header="851" w:footer="992" w:gutter="0"/>
          <w:cols w:space="720" w:num="1"/>
          <w:docGrid w:type="linesAndChars" w:linePitch="312" w:charSpace="0"/>
        </w:sectPr>
      </w:pPr>
    </w:p>
    <w:p w14:paraId="34AC7397">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360" w:lineRule="auto"/>
        <w:jc w:val="left"/>
        <w:textAlignment w:val="auto"/>
        <w:outlineLvl w:val="1"/>
        <w:rPr>
          <w:rFonts w:hint="eastAsia" w:ascii="楷体_GB2312" w:hAnsi="楷体_GB2312" w:eastAsia="楷体_GB2312" w:cs="楷体_GB2312"/>
          <w:b/>
          <w:bCs/>
          <w:color w:val="000000"/>
          <w:kern w:val="0"/>
          <w:sz w:val="28"/>
          <w:szCs w:val="28"/>
          <w:lang w:val="en-US" w:eastAsia="zh-CN"/>
        </w:rPr>
      </w:pPr>
      <w:r>
        <w:rPr>
          <w:rFonts w:hint="eastAsia" w:ascii="楷体_GB2312" w:hAnsi="楷体_GB2312" w:eastAsia="楷体_GB2312" w:cs="楷体_GB2312"/>
          <w:b/>
          <w:bCs/>
          <w:color w:val="000000"/>
          <w:kern w:val="0"/>
          <w:sz w:val="28"/>
          <w:szCs w:val="28"/>
          <w:lang w:val="en-US" w:eastAsia="zh-CN"/>
        </w:rPr>
        <w:t>二、法定代表人授权委托书</w:t>
      </w:r>
    </w:p>
    <w:p w14:paraId="289E1B54">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授权委托书</w:t>
      </w:r>
    </w:p>
    <w:p w14:paraId="5FE40B5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）现委托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（姓名）为我方代理人。代理人根据授权，以我方名义递交投标文件，全权处理与该项目</w:t>
      </w:r>
      <w:r>
        <w:rPr>
          <w:rFonts w:hint="eastAsia" w:ascii="仿宋_GB2312" w:hAnsi="仿宋_GB2312" w:eastAsia="仿宋_GB2312" w:cs="仿宋_GB2312"/>
          <w:sz w:val="28"/>
          <w:szCs w:val="28"/>
          <w:lang w:val="en-US" w:eastAsia="zh-CN"/>
        </w:rPr>
        <w:t>应答</w:t>
      </w:r>
      <w:r>
        <w:rPr>
          <w:rFonts w:hint="eastAsia" w:ascii="仿宋_GB2312" w:hAnsi="仿宋_GB2312" w:eastAsia="仿宋_GB2312" w:cs="仿宋_GB2312"/>
          <w:sz w:val="28"/>
          <w:szCs w:val="28"/>
        </w:rPr>
        <w:t>、评审答疑、签订合同以及与合同执行有关的一切事务，其法律后果由我方承担。</w:t>
      </w:r>
    </w:p>
    <w:p w14:paraId="325199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代理人无转委托权。</w:t>
      </w:r>
    </w:p>
    <w:p w14:paraId="6FDBD4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1B2E17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3240AE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（盖单位章）：</w:t>
      </w:r>
    </w:p>
    <w:p w14:paraId="3F8569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委托代理人（签字或盖章）：          </w:t>
      </w:r>
      <w:r>
        <w:rPr>
          <w:rFonts w:hint="eastAsia" w:ascii="仿宋_GB2312" w:hAnsi="仿宋_GB2312" w:eastAsia="仿宋_GB2312" w:cs="仿宋_GB2312"/>
          <w:sz w:val="28"/>
          <w:szCs w:val="28"/>
          <w:lang w:val="en-US" w:eastAsia="zh-CN"/>
        </w:rPr>
        <w:t xml:space="preserve">  </w:t>
      </w:r>
    </w:p>
    <w:p w14:paraId="2E93DB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2ED596A9">
      <w:pPr>
        <w:keepNext w:val="0"/>
        <w:keepLines w:val="0"/>
        <w:pageBreakBefore w:val="0"/>
        <w:widowControl w:val="0"/>
        <w:kinsoku/>
        <w:wordWrap/>
        <w:overflowPunct/>
        <w:topLinePunct w:val="0"/>
        <w:autoSpaceDE/>
        <w:autoSpaceDN/>
        <w:bidi w:val="0"/>
        <w:adjustRightInd/>
        <w:snapToGrid/>
        <w:spacing w:line="360" w:lineRule="auto"/>
        <w:ind w:firstLine="2660" w:firstLineChars="9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6AA2F82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000000"/>
          <w:kern w:val="0"/>
          <w:sz w:val="28"/>
          <w:szCs w:val="28"/>
          <w:lang w:val="en-US" w:eastAsia="zh-CN"/>
        </w:rPr>
      </w:pPr>
    </w:p>
    <w:p w14:paraId="5B3453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000000"/>
          <w:kern w:val="0"/>
          <w:sz w:val="28"/>
          <w:szCs w:val="28"/>
          <w:lang w:val="en-US" w:eastAsia="zh-CN"/>
        </w:rPr>
      </w:pPr>
    </w:p>
    <w:p w14:paraId="34AE4F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000000"/>
          <w:kern w:val="0"/>
          <w:sz w:val="28"/>
          <w:szCs w:val="28"/>
          <w:lang w:val="en-US" w:eastAsia="zh-CN"/>
        </w:rPr>
        <w:sectPr>
          <w:pgSz w:w="11906" w:h="16838"/>
          <w:pgMar w:top="1440" w:right="1797" w:bottom="1440" w:left="1797" w:header="851" w:footer="992" w:gutter="0"/>
          <w:cols w:space="720" w:num="1"/>
          <w:docGrid w:type="linesAndChars" w:linePitch="312" w:charSpace="0"/>
        </w:sectPr>
      </w:pPr>
    </w:p>
    <w:p w14:paraId="06F7792D">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360" w:lineRule="auto"/>
        <w:jc w:val="left"/>
        <w:textAlignment w:val="auto"/>
        <w:outlineLvl w:val="1"/>
        <w:rPr>
          <w:rFonts w:hint="eastAsia" w:ascii="楷体_GB2312" w:hAnsi="楷体_GB2312" w:eastAsia="楷体_GB2312" w:cs="楷体_GB2312"/>
          <w:b/>
          <w:bCs/>
          <w:color w:val="000000"/>
          <w:kern w:val="0"/>
          <w:sz w:val="28"/>
          <w:szCs w:val="28"/>
          <w:lang w:val="en-US" w:eastAsia="zh-CN"/>
        </w:rPr>
      </w:pPr>
      <w:r>
        <w:rPr>
          <w:rFonts w:hint="eastAsia" w:ascii="楷体_GB2312" w:hAnsi="楷体_GB2312" w:eastAsia="楷体_GB2312" w:cs="楷体_GB2312"/>
          <w:b/>
          <w:bCs/>
          <w:color w:val="000000"/>
          <w:kern w:val="0"/>
          <w:sz w:val="28"/>
          <w:szCs w:val="28"/>
          <w:lang w:val="en-US" w:eastAsia="zh-CN"/>
        </w:rPr>
        <w:t>三、报价函</w:t>
      </w:r>
    </w:p>
    <w:p w14:paraId="2DA5CEE8">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报 价 函</w:t>
      </w:r>
    </w:p>
    <w:p w14:paraId="12B2876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lang w:val="en-US" w:eastAsia="zh-CN"/>
        </w:rPr>
        <w:t>XXX（采购人名称）</w:t>
      </w:r>
    </w:p>
    <w:p w14:paraId="3EEDD5F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根据贵方为</w:t>
      </w:r>
      <w:r>
        <w:rPr>
          <w:rFonts w:hint="eastAsia" w:ascii="仿宋_GB2312" w:hAnsi="仿宋_GB2312" w:eastAsia="仿宋_GB2312" w:cs="仿宋_GB2312"/>
          <w:sz w:val="28"/>
          <w:szCs w:val="28"/>
          <w:lang w:val="en-US" w:eastAsia="zh-CN"/>
        </w:rPr>
        <w:t>XXX</w:t>
      </w:r>
      <w:r>
        <w:rPr>
          <w:rFonts w:hint="eastAsia" w:ascii="仿宋_GB2312" w:hAnsi="仿宋_GB2312" w:eastAsia="仿宋_GB2312" w:cs="仿宋_GB2312"/>
          <w:sz w:val="28"/>
          <w:szCs w:val="28"/>
        </w:rPr>
        <w:t>项目及服务的报价邀请，报价供应商代表</w:t>
      </w:r>
      <w:r>
        <w:rPr>
          <w:rFonts w:hint="eastAsia" w:ascii="仿宋_GB2312" w:hAnsi="仿宋_GB2312" w:eastAsia="仿宋_GB2312" w:cs="仿宋_GB2312"/>
          <w:sz w:val="28"/>
          <w:szCs w:val="28"/>
          <w:lang w:val="en-US" w:eastAsia="zh-CN"/>
        </w:rPr>
        <w:t>XX</w:t>
      </w:r>
      <w:r>
        <w:rPr>
          <w:rFonts w:hint="eastAsia" w:ascii="仿宋_GB2312" w:hAnsi="仿宋_GB2312" w:eastAsia="仿宋_GB2312" w:cs="仿宋_GB2312"/>
          <w:sz w:val="28"/>
          <w:szCs w:val="28"/>
        </w:rPr>
        <w:t xml:space="preserve">（全名）经正式授权并代表供应商 </w:t>
      </w:r>
      <w:r>
        <w:rPr>
          <w:rFonts w:hint="eastAsia" w:ascii="仿宋_GB2312" w:hAnsi="仿宋_GB2312" w:eastAsia="仿宋_GB2312" w:cs="仿宋_GB2312"/>
          <w:sz w:val="28"/>
          <w:szCs w:val="28"/>
          <w:lang w:val="en-US" w:eastAsia="zh-CN"/>
        </w:rPr>
        <w:t>XX</w:t>
      </w:r>
      <w:r>
        <w:rPr>
          <w:rFonts w:hint="eastAsia" w:ascii="仿宋_GB2312" w:hAnsi="仿宋_GB2312" w:eastAsia="仿宋_GB2312" w:cs="仿宋_GB2312"/>
          <w:sz w:val="28"/>
          <w:szCs w:val="28"/>
        </w:rPr>
        <w:t>（供 应 商 名 称 ）提交以下供应商的报价及承诺文件正本一份，副本</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份。</w:t>
      </w:r>
    </w:p>
    <w:p w14:paraId="47528D5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据此函，报价供应商同意如下条款：</w:t>
      </w:r>
    </w:p>
    <w:p w14:paraId="48CA768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供应商将按询价文件规定履行合同责任和义务。</w:t>
      </w:r>
    </w:p>
    <w:p w14:paraId="3B42A7E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2、供应商已详细审查全部询价文件，以及全部参考资料和有关附件。我们完全理解并同意放弃对这方面有不明及误解的权利。</w:t>
      </w:r>
    </w:p>
    <w:p w14:paraId="106453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3、供应商同意提供按照采购方可能要求的与其报价有关的一切数据或资料，完全理解采购方不一定要接受最低价的报价或收到的任何报价文件。</w:t>
      </w:r>
    </w:p>
    <w:p w14:paraId="6254E7F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4、与本报价有关的一切正式往来通讯请寄：</w:t>
      </w:r>
    </w:p>
    <w:p w14:paraId="277091B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                             邮编：</w:t>
      </w:r>
    </w:p>
    <w:p w14:paraId="499A612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电话：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传真：</w:t>
      </w:r>
    </w:p>
    <w:p w14:paraId="3370EC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：（单位全称并盖章）</w:t>
      </w:r>
    </w:p>
    <w:p w14:paraId="2D0408C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法人代表或授权代理人：（签字或盖章）</w:t>
      </w:r>
    </w:p>
    <w:p w14:paraId="090EF49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14:paraId="1A696B5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p>
    <w:p w14:paraId="19F8498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sectPr>
          <w:pgSz w:w="11906" w:h="16838"/>
          <w:pgMar w:top="1440" w:right="1797" w:bottom="1440" w:left="1797" w:header="851" w:footer="992" w:gutter="0"/>
          <w:cols w:space="720" w:num="1"/>
          <w:docGrid w:type="linesAndChars" w:linePitch="312" w:charSpace="0"/>
        </w:sectPr>
      </w:pPr>
    </w:p>
    <w:p w14:paraId="5AC4EE5E">
      <w:pPr>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Fonts w:hint="default"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报价一览表</w:t>
      </w:r>
    </w:p>
    <w:p w14:paraId="2F11F6F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项目名称：       </w:t>
      </w:r>
      <w:r>
        <w:rPr>
          <w:rFonts w:hint="eastAsia" w:ascii="仿宋_GB2312" w:hAnsi="仿宋_GB2312" w:eastAsia="仿宋_GB2312" w:cs="仿宋_GB2312"/>
          <w:sz w:val="28"/>
          <w:szCs w:val="28"/>
          <w:lang w:val="en-US" w:eastAsia="zh-CN"/>
        </w:rPr>
        <w:t xml:space="preserve">   </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6068"/>
      </w:tblGrid>
      <w:tr w14:paraId="40D8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42" w:type="pct"/>
            <w:tcBorders>
              <w:top w:val="single" w:color="auto" w:sz="4" w:space="0"/>
              <w:left w:val="single" w:color="auto" w:sz="4" w:space="0"/>
              <w:bottom w:val="single" w:color="auto" w:sz="4" w:space="0"/>
              <w:right w:val="single" w:color="auto" w:sz="4" w:space="0"/>
            </w:tcBorders>
            <w:noWrap w:val="0"/>
            <w:vAlign w:val="center"/>
          </w:tcPr>
          <w:p w14:paraId="0EFDB2FF">
            <w:pP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供应商名称</w:t>
            </w:r>
          </w:p>
        </w:tc>
        <w:tc>
          <w:tcPr>
            <w:tcW w:w="3557" w:type="pct"/>
            <w:tcBorders>
              <w:left w:val="single" w:color="auto" w:sz="4" w:space="0"/>
            </w:tcBorders>
            <w:noWrap w:val="0"/>
            <w:vAlign w:val="top"/>
          </w:tcPr>
          <w:p w14:paraId="53DA431A">
            <w:pPr>
              <w:spacing w:line="360" w:lineRule="auto"/>
              <w:rPr>
                <w:rFonts w:hint="eastAsia" w:ascii="仿宋_GB2312" w:hAnsi="仿宋_GB2312" w:eastAsia="仿宋_GB2312" w:cs="仿宋_GB2312"/>
                <w:b/>
                <w:color w:val="auto"/>
                <w:sz w:val="24"/>
                <w:szCs w:val="24"/>
                <w:highlight w:val="none"/>
              </w:rPr>
            </w:pPr>
          </w:p>
        </w:tc>
      </w:tr>
      <w:tr w14:paraId="49D4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442" w:type="pct"/>
            <w:tcBorders>
              <w:top w:val="single" w:color="auto" w:sz="4" w:space="0"/>
            </w:tcBorders>
            <w:noWrap w:val="0"/>
            <w:vAlign w:val="center"/>
          </w:tcPr>
          <w:p w14:paraId="09644710">
            <w:pP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报价</w:t>
            </w:r>
          </w:p>
          <w:p w14:paraId="6EA0BAA2">
            <w:pP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w:t>
            </w:r>
            <w:r>
              <w:rPr>
                <w:rFonts w:hint="eastAsia" w:ascii="仿宋_GB2312" w:hAnsi="仿宋_GB2312" w:eastAsia="仿宋_GB2312" w:cs="仿宋_GB2312"/>
                <w:b/>
                <w:color w:val="auto"/>
                <w:sz w:val="24"/>
                <w:szCs w:val="24"/>
                <w:highlight w:val="none"/>
                <w:lang w:val="en-US" w:eastAsia="zh-CN"/>
              </w:rPr>
              <w:t>提供满足采购需求的金额</w:t>
            </w:r>
            <w:r>
              <w:rPr>
                <w:rFonts w:hint="eastAsia" w:ascii="仿宋_GB2312" w:hAnsi="仿宋_GB2312" w:eastAsia="仿宋_GB2312" w:cs="仿宋_GB2312"/>
                <w:b/>
                <w:color w:val="auto"/>
                <w:sz w:val="24"/>
                <w:szCs w:val="24"/>
                <w:highlight w:val="none"/>
              </w:rPr>
              <w:t>）</w:t>
            </w:r>
          </w:p>
        </w:tc>
        <w:tc>
          <w:tcPr>
            <w:tcW w:w="3557" w:type="pct"/>
            <w:noWrap w:val="0"/>
            <w:vAlign w:val="center"/>
          </w:tcPr>
          <w:p w14:paraId="20DF36C1">
            <w:pPr>
              <w:snapToGrid w:val="0"/>
              <w:spacing w:line="360" w:lineRule="auto"/>
              <w:jc w:val="left"/>
              <w:rPr>
                <w:rFonts w:hint="eastAsia" w:ascii="仿宋_GB2312" w:hAnsi="仿宋_GB2312" w:eastAsia="仿宋_GB2312" w:cs="仿宋_GB2312"/>
                <w:bCs/>
                <w:color w:val="auto"/>
                <w:sz w:val="24"/>
                <w:szCs w:val="24"/>
                <w:highlight w:val="none"/>
                <w:u w:val="single"/>
              </w:rPr>
            </w:pPr>
            <w:r>
              <w:rPr>
                <w:rFonts w:hint="eastAsia" w:ascii="仿宋_GB2312" w:hAnsi="仿宋_GB2312" w:eastAsia="仿宋_GB2312" w:cs="仿宋_GB2312"/>
                <w:bCs/>
                <w:color w:val="auto"/>
                <w:sz w:val="24"/>
                <w:szCs w:val="24"/>
                <w:highlight w:val="none"/>
              </w:rPr>
              <w:t>大写：</w:t>
            </w:r>
            <w:r>
              <w:rPr>
                <w:rFonts w:hint="eastAsia" w:ascii="仿宋_GB2312" w:hAnsi="仿宋_GB2312" w:eastAsia="仿宋_GB2312" w:cs="仿宋_GB2312"/>
                <w:bCs/>
                <w:color w:val="auto"/>
                <w:sz w:val="24"/>
                <w:szCs w:val="24"/>
                <w:highlight w:val="none"/>
                <w:u w:val="single"/>
              </w:rPr>
              <w:t xml:space="preserve">                     </w:t>
            </w:r>
          </w:p>
          <w:p w14:paraId="1CC91DA0">
            <w:pPr>
              <w:spacing w:line="360" w:lineRule="auto"/>
              <w:ind w:right="-67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Cs/>
                <w:color w:val="auto"/>
                <w:sz w:val="24"/>
                <w:szCs w:val="24"/>
                <w:highlight w:val="none"/>
              </w:rPr>
              <w:t>小写：</w:t>
            </w:r>
            <w:r>
              <w:rPr>
                <w:rFonts w:hint="eastAsia" w:ascii="仿宋_GB2312" w:hAnsi="仿宋_GB2312" w:eastAsia="仿宋_GB2312" w:cs="仿宋_GB2312"/>
                <w:bCs/>
                <w:color w:val="auto"/>
                <w:sz w:val="24"/>
                <w:szCs w:val="24"/>
                <w:highlight w:val="none"/>
                <w:u w:val="single"/>
              </w:rPr>
              <w:t xml:space="preserve">                     </w:t>
            </w:r>
          </w:p>
        </w:tc>
      </w:tr>
      <w:tr w14:paraId="3569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noWrap w:val="0"/>
            <w:vAlign w:val="center"/>
          </w:tcPr>
          <w:p w14:paraId="6435913E">
            <w:pPr>
              <w:spacing w:line="360" w:lineRule="auto"/>
              <w:jc w:val="center"/>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服务响应</w:t>
            </w:r>
          </w:p>
        </w:tc>
        <w:tc>
          <w:tcPr>
            <w:tcW w:w="3557" w:type="pct"/>
            <w:noWrap w:val="0"/>
            <w:vAlign w:val="center"/>
          </w:tcPr>
          <w:p w14:paraId="419F0BC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0" w:firstLineChars="200"/>
              <w:jc w:val="left"/>
              <w:textAlignment w:val="auto"/>
              <w:outlineLvl w:val="0"/>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围墙采用砼砌块砖砌筑，墙高2.2米，每5米一个承接墩，墩高2.2米，墩顶端要求有小灰砖帽檐，地基深50厘米，总长度约165米，材料为空心砖及水泥砂浆，墙面单面水泥刷浆并图涂料，必须平整且砂浆厚度要达到1㎝以上。</w:t>
            </w:r>
          </w:p>
        </w:tc>
      </w:tr>
      <w:tr w14:paraId="7EAA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noWrap w:val="0"/>
            <w:vAlign w:val="center"/>
          </w:tcPr>
          <w:p w14:paraId="5AEB14BD">
            <w:pPr>
              <w:spacing w:line="360" w:lineRule="auto"/>
              <w:jc w:val="center"/>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技术响应</w:t>
            </w:r>
          </w:p>
        </w:tc>
        <w:tc>
          <w:tcPr>
            <w:tcW w:w="3557" w:type="pct"/>
            <w:noWrap w:val="0"/>
            <w:vAlign w:val="center"/>
          </w:tcPr>
          <w:p w14:paraId="79CF1AF8">
            <w:pPr>
              <w:widowControl/>
              <w:numPr>
                <w:ilvl w:val="0"/>
                <w:numId w:val="0"/>
              </w:numPr>
              <w:shd w:val="clear" w:color="auto" w:fill="FFFFFF"/>
              <w:adjustRightInd w:val="0"/>
              <w:spacing w:line="360" w:lineRule="auto"/>
              <w:ind w:firstLine="480" w:firstLineChars="200"/>
              <w:jc w:val="left"/>
              <w:outlineLvl w:val="0"/>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对采购清单中的技术参数要求全部响应</w:t>
            </w:r>
          </w:p>
        </w:tc>
      </w:tr>
      <w:tr w14:paraId="2AB5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1442" w:type="pct"/>
            <w:noWrap w:val="0"/>
            <w:vAlign w:val="center"/>
          </w:tcPr>
          <w:p w14:paraId="7E84DD4E">
            <w:pPr>
              <w:spacing w:line="36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备注说明</w:t>
            </w:r>
          </w:p>
        </w:tc>
        <w:tc>
          <w:tcPr>
            <w:tcW w:w="3557" w:type="pct"/>
            <w:noWrap w:val="0"/>
            <w:vAlign w:val="top"/>
          </w:tcPr>
          <w:p w14:paraId="4852CFF5">
            <w:pPr>
              <w:spacing w:line="360" w:lineRule="auto"/>
              <w:rPr>
                <w:rFonts w:hint="eastAsia" w:ascii="仿宋_GB2312" w:hAnsi="仿宋_GB2312" w:eastAsia="仿宋_GB2312" w:cs="仿宋_GB2312"/>
                <w:b/>
                <w:color w:val="auto"/>
                <w:sz w:val="24"/>
                <w:szCs w:val="24"/>
                <w:highlight w:val="none"/>
              </w:rPr>
            </w:pPr>
          </w:p>
        </w:tc>
      </w:tr>
    </w:tbl>
    <w:p w14:paraId="3E62517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560" w:firstLineChars="200"/>
        <w:jc w:val="right"/>
        <w:textAlignment w:val="auto"/>
        <w:outlineLvl w:val="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供应商盖章：</w:t>
      </w:r>
    </w:p>
    <w:p w14:paraId="2341C47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560" w:firstLineChars="200"/>
        <w:jc w:val="right"/>
        <w:textAlignment w:val="auto"/>
        <w:outlineLvl w:val="0"/>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日      期：</w:t>
      </w:r>
    </w:p>
    <w:p w14:paraId="68D5E3E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sz w:val="28"/>
          <w:szCs w:val="28"/>
          <w:lang w:val="en-US" w:eastAsia="zh-CN"/>
        </w:rPr>
      </w:pPr>
    </w:p>
    <w:p w14:paraId="053CE154">
      <w:bookmarkStart w:id="6" w:name="_GoBack"/>
      <w:bookmarkEnd w:id="6"/>
    </w:p>
    <w:sectPr>
      <w:pgSz w:w="11906" w:h="16838"/>
      <w:pgMar w:top="1440" w:right="1797" w:bottom="1440" w:left="1797" w:header="851" w:footer="992" w:gutter="0"/>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大黑简体">
    <w:altName w:val="黑体"/>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B6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2026-05-12T07:33:27Z</dcterms:created>
  <dc:creator>DELL</dc:creator>
  <cp:lastModifiedBy>孟德尔的豌豆</cp:lastModifiedBy>
  <dcterms:modified xsi:type="dcterms:W3CDTF">2026-05-12T07:33:47Z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eyJoZGlkIjoiNTI5NWZjZTljMzgyN2NhMjg3M2VlNDhkMTUyZjI3ZTciLCJ1c2VySWQiOiIxMjAwMDA1NTg1In0=</vt:lpwstr>
  </property>
  <property fmtid="{D5CDD505-2E9C-101B-9397-08002B2CF9AE}" pid="4" name="ICV">
    <vt:lpwstr>DD539D058AFB4966B064EFCCE0D69A27_12</vt:lpwstr>
  </property>
</Properties>
</file>